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5" w:lineRule="atLeast"/>
        <w:jc w:val="center"/>
        <w:rPr>
          <w:rFonts w:ascii="黑体" w:hAnsi="黑体" w:eastAsia="黑体" w:cs="宋体"/>
          <w:kern w:val="0"/>
          <w:sz w:val="30"/>
          <w:szCs w:val="30"/>
        </w:rPr>
      </w:pPr>
      <w:bookmarkStart w:id="0" w:name="_GoBack"/>
      <w:bookmarkEnd w:id="0"/>
      <w:r>
        <w:rPr>
          <w:rFonts w:hint="eastAsia" w:ascii="黑体" w:hAnsi="黑体" w:eastAsia="黑体" w:cs="宋体"/>
          <w:kern w:val="0"/>
          <w:sz w:val="30"/>
          <w:szCs w:val="30"/>
        </w:rPr>
        <w:t>关于印发《陕西省专业技术人员继续教育证书管理暂行办法》的通知</w:t>
      </w:r>
    </w:p>
    <w:p>
      <w:pPr>
        <w:widowControl/>
        <w:shd w:val="clear" w:color="auto" w:fill="FFFFFF"/>
        <w:spacing w:line="345" w:lineRule="atLeast"/>
        <w:jc w:val="center"/>
        <w:rPr>
          <w:rFonts w:ascii="宋体" w:hAnsi="宋体" w:eastAsia="宋体" w:cs="宋体"/>
          <w:color w:val="000000"/>
          <w:kern w:val="0"/>
          <w:szCs w:val="21"/>
        </w:rPr>
      </w:pPr>
      <w:r>
        <w:rPr>
          <w:rFonts w:ascii="宋体" w:hAnsi="宋体" w:eastAsia="宋体" w:cs="宋体"/>
          <w:color w:val="000000"/>
          <w:kern w:val="0"/>
          <w:szCs w:val="21"/>
        </w:rPr>
        <w:t>陕人社发〔2016〕27号</w:t>
      </w:r>
    </w:p>
    <w:p>
      <w:pPr>
        <w:widowControl/>
        <w:shd w:val="clear" w:color="auto" w:fill="FFFFFF"/>
        <w:jc w:val="center"/>
        <w:rPr>
          <w:rFonts w:ascii="宋体" w:hAnsi="宋体" w:eastAsia="宋体" w:cs="宋体"/>
          <w:color w:val="666666"/>
          <w:kern w:val="0"/>
          <w:sz w:val="18"/>
          <w:szCs w:val="18"/>
        </w:rPr>
      </w:pPr>
      <w:r>
        <w:rPr>
          <w:rFonts w:ascii="宋体" w:hAnsi="宋体" w:eastAsia="宋体" w:cs="宋体"/>
          <w:color w:val="666666"/>
          <w:kern w:val="0"/>
          <w:sz w:val="18"/>
          <w:szCs w:val="18"/>
        </w:rPr>
        <w:t xml:space="preserve">来源：专业技术人员管理处　　日期：2016-8-10　　 </w:t>
      </w:r>
    </w:p>
    <w:p>
      <w:pPr>
        <w:widowControl/>
        <w:shd w:val="clear" w:color="auto" w:fill="FFFFFF"/>
        <w:jc w:val="left"/>
        <w:rPr>
          <w:rFonts w:ascii="宋体" w:hAnsi="宋体" w:eastAsia="宋体" w:cs="宋体"/>
          <w:vanish/>
          <w:color w:val="666666"/>
          <w:kern w:val="0"/>
          <w:sz w:val="18"/>
          <w:szCs w:val="18"/>
        </w:rPr>
      </w:pPr>
      <w:r>
        <w:rPr>
          <w:rFonts w:ascii="宋体" w:hAnsi="宋体" w:eastAsia="宋体" w:cs="宋体"/>
          <w:vanish/>
          <w:color w:val="666666"/>
          <w:kern w:val="0"/>
          <w:sz w:val="18"/>
          <w:szCs w:val="18"/>
        </w:rPr>
        <w:t xml:space="preserve">人民微博 新浪微博 腾讯微博 </w:t>
      </w:r>
    </w:p>
    <w:p>
      <w:pPr>
        <w:widowControl/>
        <w:shd w:val="clear" w:color="auto" w:fill="FFFFFF"/>
        <w:spacing w:before="100" w:beforeAutospacing="1" w:after="100" w:afterAutospacing="1" w:line="345" w:lineRule="atLeast"/>
        <w:jc w:val="left"/>
        <w:rPr>
          <w:rFonts w:ascii="宋体" w:hAnsi="宋体" w:eastAsia="宋体" w:cs="宋体"/>
          <w:color w:val="333333"/>
          <w:kern w:val="0"/>
          <w:szCs w:val="21"/>
        </w:rPr>
      </w:pPr>
      <w:r>
        <w:rPr>
          <w:rFonts w:ascii="宋体" w:hAnsi="宋体" w:eastAsia="宋体" w:cs="宋体"/>
          <w:color w:val="333333"/>
          <w:kern w:val="0"/>
          <w:szCs w:val="21"/>
        </w:rPr>
        <w:t>各市人力资源社会保障局、杨凌示范区人事劳动局，西咸新区人力资源社会保障局，韩城市人力资源社会保障局，省级有关部门，中央驻陕有关单位，省级继续教育基地：</w:t>
      </w:r>
      <w:r>
        <w:rPr>
          <w:rFonts w:ascii="宋体" w:hAnsi="宋体" w:eastAsia="宋体" w:cs="宋体"/>
          <w:color w:val="333333"/>
          <w:kern w:val="0"/>
          <w:szCs w:val="21"/>
        </w:rPr>
        <w:br w:type="textWrapping"/>
      </w:r>
      <w:r>
        <w:rPr>
          <w:rFonts w:ascii="宋体" w:hAnsi="宋体" w:eastAsia="宋体" w:cs="宋体"/>
          <w:color w:val="333333"/>
          <w:kern w:val="0"/>
          <w:szCs w:val="21"/>
        </w:rPr>
        <w:t>　　现将《陕西省专业技术人员继续教育证书管理暂行办法》印发你们，请结合实际，认真贯彻执行。</w:t>
      </w:r>
    </w:p>
    <w:p>
      <w:pPr>
        <w:widowControl/>
        <w:shd w:val="clear" w:color="auto" w:fill="FFFFFF"/>
        <w:spacing w:before="100" w:beforeAutospacing="1" w:after="100" w:afterAutospacing="1" w:line="345" w:lineRule="atLeast"/>
        <w:jc w:val="right"/>
        <w:rPr>
          <w:rFonts w:ascii="宋体" w:hAnsi="宋体" w:eastAsia="宋体" w:cs="宋体"/>
          <w:color w:val="333333"/>
          <w:kern w:val="0"/>
          <w:szCs w:val="21"/>
        </w:rPr>
      </w:pPr>
      <w:r>
        <w:rPr>
          <w:rFonts w:ascii="宋体" w:hAnsi="宋体" w:eastAsia="宋体" w:cs="宋体"/>
          <w:color w:val="333333"/>
          <w:kern w:val="0"/>
          <w:szCs w:val="21"/>
        </w:rPr>
        <w:br w:type="textWrapping"/>
      </w:r>
      <w:r>
        <w:rPr>
          <w:rFonts w:ascii="宋体" w:hAnsi="宋体" w:eastAsia="宋体" w:cs="宋体"/>
          <w:color w:val="333333"/>
          <w:kern w:val="0"/>
          <w:szCs w:val="21"/>
        </w:rPr>
        <w:t>                      陕西省人力资源和社会保障厅</w:t>
      </w:r>
      <w:r>
        <w:rPr>
          <w:rFonts w:ascii="宋体" w:hAnsi="宋体" w:eastAsia="宋体" w:cs="宋体"/>
          <w:color w:val="333333"/>
          <w:kern w:val="0"/>
          <w:szCs w:val="21"/>
        </w:rPr>
        <w:br w:type="textWrapping"/>
      </w:r>
      <w:r>
        <w:rPr>
          <w:rFonts w:ascii="宋体" w:hAnsi="宋体" w:eastAsia="宋体" w:cs="宋体"/>
          <w:color w:val="333333"/>
          <w:kern w:val="0"/>
          <w:szCs w:val="21"/>
        </w:rPr>
        <w:t>                           2016年7月13日</w:t>
      </w:r>
      <w:r>
        <w:rPr>
          <w:rFonts w:ascii="宋体" w:hAnsi="宋体" w:eastAsia="宋体" w:cs="宋体"/>
          <w:color w:val="333333"/>
          <w:kern w:val="0"/>
          <w:szCs w:val="21"/>
        </w:rPr>
        <w:br w:type="textWrapping"/>
      </w:r>
      <w:r>
        <w:rPr>
          <w:rFonts w:ascii="宋体" w:hAnsi="宋体" w:eastAsia="宋体" w:cs="宋体"/>
          <w:color w:val="333333"/>
          <w:kern w:val="0"/>
          <w:szCs w:val="21"/>
        </w:rPr>
        <w:t> </w:t>
      </w:r>
    </w:p>
    <w:p>
      <w:pPr>
        <w:widowControl/>
        <w:shd w:val="clear" w:color="auto" w:fill="FFFFFF"/>
        <w:spacing w:before="100" w:beforeAutospacing="1" w:after="100" w:afterAutospacing="1" w:line="345" w:lineRule="atLeast"/>
        <w:jc w:val="center"/>
        <w:rPr>
          <w:rFonts w:ascii="宋体" w:hAnsi="宋体" w:eastAsia="宋体" w:cs="宋体"/>
          <w:color w:val="333333"/>
          <w:kern w:val="0"/>
          <w:szCs w:val="21"/>
        </w:rPr>
      </w:pPr>
      <w:r>
        <w:rPr>
          <w:rFonts w:ascii="宋体" w:hAnsi="宋体" w:eastAsia="宋体" w:cs="宋体"/>
          <w:color w:val="333333"/>
          <w:kern w:val="0"/>
          <w:szCs w:val="21"/>
        </w:rPr>
        <w:br w:type="textWrapping"/>
      </w:r>
      <w:r>
        <w:rPr>
          <w:rFonts w:ascii="宋体" w:hAnsi="宋体" w:eastAsia="宋体" w:cs="宋体"/>
          <w:b/>
          <w:bCs/>
          <w:color w:val="333333"/>
          <w:kern w:val="0"/>
          <w:sz w:val="24"/>
          <w:szCs w:val="24"/>
        </w:rPr>
        <w:t>陕西省专业技术人员继续教育</w:t>
      </w:r>
      <w:r>
        <w:rPr>
          <w:rFonts w:ascii="宋体" w:hAnsi="宋体" w:eastAsia="宋体" w:cs="宋体"/>
          <w:b/>
          <w:bCs/>
          <w:color w:val="333333"/>
          <w:kern w:val="0"/>
          <w:sz w:val="24"/>
          <w:szCs w:val="24"/>
        </w:rPr>
        <w:br w:type="textWrapping"/>
      </w:r>
      <w:r>
        <w:rPr>
          <w:rFonts w:ascii="宋体" w:hAnsi="宋体" w:eastAsia="宋体" w:cs="宋体"/>
          <w:b/>
          <w:bCs/>
          <w:color w:val="333333"/>
          <w:kern w:val="0"/>
          <w:sz w:val="24"/>
          <w:szCs w:val="24"/>
        </w:rPr>
        <w:t>证书管理暂行办法</w:t>
      </w:r>
    </w:p>
    <w:p>
      <w:pPr>
        <w:widowControl/>
        <w:shd w:val="clear" w:color="auto" w:fill="FFFFFF"/>
        <w:spacing w:before="100" w:beforeAutospacing="1" w:after="100" w:afterAutospacing="1" w:line="345" w:lineRule="atLeast"/>
        <w:jc w:val="center"/>
        <w:rPr>
          <w:rFonts w:ascii="宋体" w:hAnsi="宋体" w:eastAsia="宋体" w:cs="宋体"/>
          <w:color w:val="333333"/>
          <w:kern w:val="0"/>
          <w:szCs w:val="21"/>
        </w:rPr>
      </w:pPr>
      <w:r>
        <w:rPr>
          <w:rFonts w:ascii="宋体" w:hAnsi="宋体" w:eastAsia="宋体" w:cs="宋体"/>
          <w:b/>
          <w:bCs/>
          <w:color w:val="333333"/>
          <w:kern w:val="0"/>
          <w:szCs w:val="21"/>
        </w:rPr>
        <w:t>第一章  总  则</w:t>
      </w:r>
    </w:p>
    <w:p>
      <w:pPr>
        <w:widowControl/>
        <w:shd w:val="clear" w:color="auto" w:fill="FFFFFF"/>
        <w:spacing w:before="100" w:beforeAutospacing="1" w:after="100" w:afterAutospacing="1" w:line="345" w:lineRule="atLeast"/>
        <w:jc w:val="left"/>
        <w:rPr>
          <w:rFonts w:ascii="宋体" w:hAnsi="宋体" w:eastAsia="宋体" w:cs="宋体"/>
          <w:color w:val="333333"/>
          <w:kern w:val="0"/>
          <w:szCs w:val="21"/>
        </w:rPr>
      </w:pPr>
      <w:r>
        <w:rPr>
          <w:rFonts w:ascii="宋体" w:hAnsi="宋体" w:eastAsia="宋体" w:cs="宋体"/>
          <w:color w:val="333333"/>
          <w:kern w:val="0"/>
          <w:szCs w:val="21"/>
        </w:rPr>
        <w:br w:type="textWrapping"/>
      </w:r>
      <w:r>
        <w:rPr>
          <w:rFonts w:ascii="宋体" w:hAnsi="宋体" w:eastAsia="宋体" w:cs="宋体"/>
          <w:color w:val="333333"/>
          <w:kern w:val="0"/>
          <w:szCs w:val="21"/>
        </w:rPr>
        <w:t>　　第一条  为加强和规范我省专业技术人员继续教育（以下简称继续教育）工作，根据国家《专业技术人员继续教育规定》（部长令第25号）和《陕西省专业技术人员继续教育条例》，制定本办法。</w:t>
      </w:r>
      <w:r>
        <w:rPr>
          <w:rFonts w:ascii="宋体" w:hAnsi="宋体" w:eastAsia="宋体" w:cs="宋体"/>
          <w:color w:val="333333"/>
          <w:kern w:val="0"/>
          <w:szCs w:val="21"/>
        </w:rPr>
        <w:br w:type="textWrapping"/>
      </w:r>
      <w:r>
        <w:rPr>
          <w:rFonts w:ascii="宋体" w:hAnsi="宋体" w:eastAsia="宋体" w:cs="宋体"/>
          <w:color w:val="333333"/>
          <w:kern w:val="0"/>
          <w:szCs w:val="21"/>
        </w:rPr>
        <w:t>　　第二条  继续教育证书管理暂行办法是规范继续教育证书管理，促进专业技术人员不断提高学习能力、实践能力和创新能力的重要措施。本办法适用于全省各类专业技术人员。</w:t>
      </w:r>
      <w:r>
        <w:rPr>
          <w:rFonts w:ascii="宋体" w:hAnsi="宋体" w:eastAsia="宋体" w:cs="宋体"/>
          <w:color w:val="333333"/>
          <w:kern w:val="0"/>
          <w:szCs w:val="21"/>
        </w:rPr>
        <w:br w:type="textWrapping"/>
      </w:r>
      <w:r>
        <w:rPr>
          <w:rFonts w:ascii="宋体" w:hAnsi="宋体" w:eastAsia="宋体" w:cs="宋体"/>
          <w:color w:val="333333"/>
          <w:kern w:val="0"/>
          <w:szCs w:val="21"/>
        </w:rPr>
        <w:t>　　第三条  继续教育内容分为公需科目和专业科目。</w:t>
      </w:r>
      <w:r>
        <w:rPr>
          <w:rFonts w:ascii="宋体" w:hAnsi="宋体" w:eastAsia="宋体" w:cs="宋体"/>
          <w:color w:val="333333"/>
          <w:kern w:val="0"/>
          <w:szCs w:val="21"/>
        </w:rPr>
        <w:br w:type="textWrapping"/>
      </w:r>
      <w:r>
        <w:rPr>
          <w:rFonts w:ascii="宋体" w:hAnsi="宋体" w:eastAsia="宋体" w:cs="宋体"/>
          <w:color w:val="333333"/>
          <w:kern w:val="0"/>
          <w:szCs w:val="21"/>
        </w:rPr>
        <w:t>　　第四条  公需科目是指全体专业技术人员必须掌握的政策法规、基本理论、技术、信息等方面的知识。主要包括创新能力培养、现代科技知识、职业道德教育、团队协作、知识产权保护等方面内容。继续教育公需科目由省人力资源和社会保障厅统一确定，集中或分级组织实施。</w:t>
      </w:r>
      <w:r>
        <w:rPr>
          <w:rFonts w:ascii="宋体" w:hAnsi="宋体" w:eastAsia="宋体" w:cs="宋体"/>
          <w:color w:val="333333"/>
          <w:kern w:val="0"/>
          <w:szCs w:val="21"/>
        </w:rPr>
        <w:br w:type="textWrapping"/>
      </w:r>
      <w:r>
        <w:rPr>
          <w:rFonts w:ascii="宋体" w:hAnsi="宋体" w:eastAsia="宋体" w:cs="宋体"/>
          <w:color w:val="333333"/>
          <w:kern w:val="0"/>
          <w:szCs w:val="21"/>
        </w:rPr>
        <w:t>　　第五条  专业科目是指本行业专业技术人员必须掌握的行业专业新理论、技术、信息，以及行业内专业技术人员必须具备的专业知识。主要包括学习新理论、新知识、新技术、新技能，了解和掌握国内外学科前沿发展动态，研究科研、生产、管理中急需解决的问题等。专业科目由各部门、各行业根据行业专业发展需要统一确定，集中或分级组织实施。</w:t>
      </w:r>
      <w:r>
        <w:rPr>
          <w:rFonts w:ascii="宋体" w:hAnsi="宋体" w:eastAsia="宋体" w:cs="宋体"/>
          <w:color w:val="333333"/>
          <w:kern w:val="0"/>
          <w:szCs w:val="21"/>
        </w:rPr>
        <w:br w:type="textWrapping"/>
      </w:r>
      <w:r>
        <w:rPr>
          <w:rFonts w:ascii="宋体" w:hAnsi="宋体" w:eastAsia="宋体" w:cs="宋体"/>
          <w:color w:val="333333"/>
          <w:kern w:val="0"/>
          <w:szCs w:val="21"/>
        </w:rPr>
        <w:t>　　第六条  参加和接受继续教育是每个专业技术人员的权利和义务。专业技术人员每年接受继续教育的学习时间累计不少于80小时，其中专业科目不少于56小时，公需科目不少于24小时。在继续教育年度内，学习时间可以集中使用，也可以分散使用。现已实行学分制的行业部门，学分与小时的转换由各行业主管部门结合实际制定具体办法。</w:t>
      </w:r>
    </w:p>
    <w:p>
      <w:pPr>
        <w:widowControl/>
        <w:shd w:val="clear" w:color="auto" w:fill="FFFFFF"/>
        <w:spacing w:before="100" w:beforeAutospacing="1" w:after="100" w:afterAutospacing="1" w:line="345" w:lineRule="atLeast"/>
        <w:jc w:val="center"/>
        <w:rPr>
          <w:rFonts w:ascii="宋体" w:hAnsi="宋体" w:eastAsia="宋体" w:cs="宋体"/>
          <w:color w:val="333333"/>
          <w:kern w:val="0"/>
          <w:szCs w:val="21"/>
        </w:rPr>
      </w:pPr>
      <w:r>
        <w:rPr>
          <w:rFonts w:ascii="宋体" w:hAnsi="宋体" w:eastAsia="宋体" w:cs="宋体"/>
          <w:b/>
          <w:bCs/>
          <w:color w:val="333333"/>
          <w:kern w:val="0"/>
          <w:szCs w:val="21"/>
        </w:rPr>
        <w:t>第二章  证书发放</w:t>
      </w:r>
    </w:p>
    <w:p>
      <w:pPr>
        <w:widowControl/>
        <w:shd w:val="clear" w:color="auto" w:fill="FFFFFF"/>
        <w:spacing w:before="100" w:beforeAutospacing="1" w:after="100" w:afterAutospacing="1" w:line="345" w:lineRule="atLeast"/>
        <w:jc w:val="left"/>
        <w:rPr>
          <w:rFonts w:ascii="宋体" w:hAnsi="宋体" w:eastAsia="宋体" w:cs="宋体"/>
          <w:color w:val="333333"/>
          <w:kern w:val="0"/>
          <w:szCs w:val="21"/>
        </w:rPr>
      </w:pPr>
      <w:r>
        <w:rPr>
          <w:rFonts w:ascii="宋体" w:hAnsi="宋体" w:eastAsia="宋体" w:cs="宋体"/>
          <w:color w:val="333333"/>
          <w:kern w:val="0"/>
          <w:szCs w:val="21"/>
        </w:rPr>
        <w:t>　　第七条  《陕西省专业技术人员继续教育证书》由省人力资源和社会保障厅统一印制管理。</w:t>
      </w:r>
      <w:r>
        <w:rPr>
          <w:rFonts w:ascii="宋体" w:hAnsi="宋体" w:eastAsia="宋体" w:cs="宋体"/>
          <w:color w:val="333333"/>
          <w:kern w:val="0"/>
          <w:szCs w:val="21"/>
        </w:rPr>
        <w:br w:type="textWrapping"/>
      </w:r>
      <w:r>
        <w:rPr>
          <w:rFonts w:ascii="宋体" w:hAnsi="宋体" w:eastAsia="宋体" w:cs="宋体"/>
          <w:color w:val="333333"/>
          <w:kern w:val="0"/>
          <w:szCs w:val="21"/>
        </w:rPr>
        <w:t>　　第八条  各市人力资源和社会保障局、省级各部门按照继续教育证书管理暂行办法要求和《陕西省专业技术人员继续教育证书管理号编码规则》（见附件），负责本辖区、本部门继续教育证书的申领、编号、签发、备案、审验和发放管理工作。</w:t>
      </w:r>
      <w:r>
        <w:rPr>
          <w:rFonts w:ascii="宋体" w:hAnsi="宋体" w:eastAsia="宋体" w:cs="宋体"/>
          <w:color w:val="333333"/>
          <w:kern w:val="0"/>
          <w:szCs w:val="21"/>
        </w:rPr>
        <w:br w:type="textWrapping"/>
      </w:r>
      <w:r>
        <w:rPr>
          <w:rFonts w:ascii="宋体" w:hAnsi="宋体" w:eastAsia="宋体" w:cs="宋体"/>
          <w:color w:val="333333"/>
          <w:kern w:val="0"/>
          <w:szCs w:val="21"/>
        </w:rPr>
        <w:t>　　第九条  继续教育证书由专业技术人员本人或单位集中保管。证书丢失、损毁以及登记填满后，应按发证渠道及时申请补发或更换继续教育证书。</w:t>
      </w:r>
    </w:p>
    <w:p>
      <w:pPr>
        <w:widowControl/>
        <w:shd w:val="clear" w:color="auto" w:fill="FFFFFF"/>
        <w:spacing w:before="100" w:beforeAutospacing="1" w:after="100" w:afterAutospacing="1" w:line="345" w:lineRule="atLeast"/>
        <w:jc w:val="center"/>
        <w:rPr>
          <w:rFonts w:ascii="宋体" w:hAnsi="宋体" w:eastAsia="宋体" w:cs="宋体"/>
          <w:color w:val="333333"/>
          <w:kern w:val="0"/>
          <w:szCs w:val="21"/>
        </w:rPr>
      </w:pPr>
      <w:r>
        <w:rPr>
          <w:rFonts w:ascii="宋体" w:hAnsi="宋体" w:eastAsia="宋体" w:cs="宋体"/>
          <w:b/>
          <w:bCs/>
          <w:color w:val="333333"/>
          <w:kern w:val="0"/>
          <w:szCs w:val="21"/>
        </w:rPr>
        <w:t>第三章  证书登记</w:t>
      </w:r>
    </w:p>
    <w:p>
      <w:pPr>
        <w:widowControl/>
        <w:shd w:val="clear" w:color="auto" w:fill="FFFFFF"/>
        <w:spacing w:before="100" w:beforeAutospacing="1" w:after="100" w:afterAutospacing="1" w:line="345" w:lineRule="atLeast"/>
        <w:jc w:val="left"/>
        <w:rPr>
          <w:rFonts w:ascii="宋体" w:hAnsi="宋体" w:eastAsia="宋体" w:cs="宋体"/>
          <w:color w:val="333333"/>
          <w:kern w:val="0"/>
          <w:szCs w:val="21"/>
        </w:rPr>
      </w:pPr>
      <w:r>
        <w:rPr>
          <w:rFonts w:ascii="宋体" w:hAnsi="宋体" w:eastAsia="宋体" w:cs="宋体"/>
          <w:color w:val="333333"/>
          <w:kern w:val="0"/>
          <w:szCs w:val="21"/>
        </w:rPr>
        <w:t>　　第十条  继续教育实行证书登记制度。证书登记的内容，主要包括专业技术人员接受继续教育的小时、内容、形式、起止时间、考核结果、施教机构等。</w:t>
      </w:r>
      <w:r>
        <w:rPr>
          <w:rFonts w:ascii="宋体" w:hAnsi="宋体" w:eastAsia="宋体" w:cs="宋体"/>
          <w:color w:val="333333"/>
          <w:kern w:val="0"/>
          <w:szCs w:val="21"/>
        </w:rPr>
        <w:br w:type="textWrapping"/>
      </w:r>
      <w:r>
        <w:rPr>
          <w:rFonts w:ascii="宋体" w:hAnsi="宋体" w:eastAsia="宋体" w:cs="宋体"/>
          <w:color w:val="333333"/>
          <w:kern w:val="0"/>
          <w:szCs w:val="21"/>
        </w:rPr>
        <w:t>　　第十一条  专业技术人员参加继续教育活动取得的各种有效证件，是继续教育证书登记、审验和复验的依据。参加由政府人力资源和社会保障部门以及上级业务主管部门备案认可的下列继续教育形式之一的，凭相关有效证明，在继续教育证书上登记：</w:t>
      </w:r>
      <w:r>
        <w:rPr>
          <w:rFonts w:ascii="宋体" w:hAnsi="宋体" w:eastAsia="宋体" w:cs="宋体"/>
          <w:color w:val="333333"/>
          <w:kern w:val="0"/>
          <w:szCs w:val="21"/>
        </w:rPr>
        <w:br w:type="textWrapping"/>
      </w:r>
      <w:r>
        <w:rPr>
          <w:rFonts w:ascii="宋体" w:hAnsi="宋体" w:eastAsia="宋体" w:cs="宋体"/>
          <w:color w:val="333333"/>
          <w:kern w:val="0"/>
          <w:szCs w:val="21"/>
        </w:rPr>
        <w:t>　　1、参加继续教育基地和单位主管部门举办的进修班、研修班、培训班；</w:t>
      </w:r>
      <w:r>
        <w:rPr>
          <w:rFonts w:ascii="宋体" w:hAnsi="宋体" w:eastAsia="宋体" w:cs="宋体"/>
          <w:color w:val="333333"/>
          <w:kern w:val="0"/>
          <w:szCs w:val="21"/>
        </w:rPr>
        <w:br w:type="textWrapping"/>
      </w:r>
      <w:r>
        <w:rPr>
          <w:rFonts w:ascii="宋体" w:hAnsi="宋体" w:eastAsia="宋体" w:cs="宋体"/>
          <w:color w:val="333333"/>
          <w:kern w:val="0"/>
          <w:szCs w:val="21"/>
        </w:rPr>
        <w:t>　　2、到教学、科研、生产单位实习进修；</w:t>
      </w:r>
      <w:r>
        <w:rPr>
          <w:rFonts w:ascii="宋体" w:hAnsi="宋体" w:eastAsia="宋体" w:cs="宋体"/>
          <w:color w:val="333333"/>
          <w:kern w:val="0"/>
          <w:szCs w:val="21"/>
        </w:rPr>
        <w:br w:type="textWrapping"/>
      </w:r>
      <w:r>
        <w:rPr>
          <w:rFonts w:ascii="宋体" w:hAnsi="宋体" w:eastAsia="宋体" w:cs="宋体"/>
          <w:color w:val="333333"/>
          <w:kern w:val="0"/>
          <w:szCs w:val="21"/>
        </w:rPr>
        <w:t>　　3、参加相应的学历教育或攻读学位；</w:t>
      </w:r>
      <w:r>
        <w:rPr>
          <w:rFonts w:ascii="宋体" w:hAnsi="宋体" w:eastAsia="宋体" w:cs="宋体"/>
          <w:color w:val="333333"/>
          <w:kern w:val="0"/>
          <w:szCs w:val="21"/>
        </w:rPr>
        <w:br w:type="textWrapping"/>
      </w:r>
      <w:r>
        <w:rPr>
          <w:rFonts w:ascii="宋体" w:hAnsi="宋体" w:eastAsia="宋体" w:cs="宋体"/>
          <w:color w:val="333333"/>
          <w:kern w:val="0"/>
          <w:szCs w:val="21"/>
        </w:rPr>
        <w:t>　　4、参加国内外学术讲座、学术会议；</w:t>
      </w:r>
      <w:r>
        <w:rPr>
          <w:rFonts w:ascii="宋体" w:hAnsi="宋体" w:eastAsia="宋体" w:cs="宋体"/>
          <w:color w:val="333333"/>
          <w:kern w:val="0"/>
          <w:szCs w:val="21"/>
        </w:rPr>
        <w:br w:type="textWrapping"/>
      </w:r>
      <w:r>
        <w:rPr>
          <w:rFonts w:ascii="宋体" w:hAnsi="宋体" w:eastAsia="宋体" w:cs="宋体"/>
          <w:color w:val="333333"/>
          <w:kern w:val="0"/>
          <w:szCs w:val="21"/>
        </w:rPr>
        <w:t>　　5、出国进修；</w:t>
      </w:r>
      <w:r>
        <w:rPr>
          <w:rFonts w:ascii="宋体" w:hAnsi="宋体" w:eastAsia="宋体" w:cs="宋体"/>
          <w:color w:val="333333"/>
          <w:kern w:val="0"/>
          <w:szCs w:val="21"/>
        </w:rPr>
        <w:br w:type="textWrapping"/>
      </w:r>
      <w:r>
        <w:rPr>
          <w:rFonts w:ascii="宋体" w:hAnsi="宋体" w:eastAsia="宋体" w:cs="宋体"/>
          <w:color w:val="333333"/>
          <w:kern w:val="0"/>
          <w:szCs w:val="21"/>
        </w:rPr>
        <w:t>　　6、在科研、技术推广或教学等活动中取得的技术成果等；</w:t>
      </w:r>
      <w:r>
        <w:rPr>
          <w:rFonts w:ascii="宋体" w:hAnsi="宋体" w:eastAsia="宋体" w:cs="宋体"/>
          <w:color w:val="333333"/>
          <w:kern w:val="0"/>
          <w:szCs w:val="21"/>
        </w:rPr>
        <w:br w:type="textWrapping"/>
      </w:r>
      <w:r>
        <w:rPr>
          <w:rFonts w:ascii="宋体" w:hAnsi="宋体" w:eastAsia="宋体" w:cs="宋体"/>
          <w:color w:val="333333"/>
          <w:kern w:val="0"/>
          <w:szCs w:val="21"/>
        </w:rPr>
        <w:t>　　7、正式发表出版的与本业务相关的专著、译著、论文、译文等作品；</w:t>
      </w:r>
      <w:r>
        <w:rPr>
          <w:rFonts w:ascii="宋体" w:hAnsi="宋体" w:eastAsia="宋体" w:cs="宋体"/>
          <w:color w:val="333333"/>
          <w:kern w:val="0"/>
          <w:szCs w:val="21"/>
        </w:rPr>
        <w:br w:type="textWrapping"/>
      </w:r>
      <w:r>
        <w:rPr>
          <w:rFonts w:ascii="宋体" w:hAnsi="宋体" w:eastAsia="宋体" w:cs="宋体"/>
          <w:color w:val="333333"/>
          <w:kern w:val="0"/>
          <w:szCs w:val="21"/>
        </w:rPr>
        <w:t>　　8、参加本单位及上级部门正式立项课题的研究工作；</w:t>
      </w:r>
      <w:r>
        <w:rPr>
          <w:rFonts w:ascii="宋体" w:hAnsi="宋体" w:eastAsia="宋体" w:cs="宋体"/>
          <w:color w:val="333333"/>
          <w:kern w:val="0"/>
          <w:szCs w:val="21"/>
        </w:rPr>
        <w:br w:type="textWrapping"/>
      </w:r>
      <w:r>
        <w:rPr>
          <w:rFonts w:ascii="宋体" w:hAnsi="宋体" w:eastAsia="宋体" w:cs="宋体"/>
          <w:color w:val="333333"/>
          <w:kern w:val="0"/>
          <w:szCs w:val="21"/>
        </w:rPr>
        <w:t>　　9、参加经单位主管部门批准的与业务工作有关的有计划、有考核的各种自学活动；</w:t>
      </w:r>
      <w:r>
        <w:rPr>
          <w:rFonts w:ascii="宋体" w:hAnsi="宋体" w:eastAsia="宋体" w:cs="宋体"/>
          <w:color w:val="333333"/>
          <w:kern w:val="0"/>
          <w:szCs w:val="21"/>
        </w:rPr>
        <w:br w:type="textWrapping"/>
      </w:r>
      <w:r>
        <w:rPr>
          <w:rFonts w:ascii="宋体" w:hAnsi="宋体" w:eastAsia="宋体" w:cs="宋体"/>
          <w:color w:val="333333"/>
          <w:kern w:val="0"/>
          <w:szCs w:val="21"/>
        </w:rPr>
        <w:t>　　10、参加由省人力资源和社会保障厅批准的其他继续教育形式等。</w:t>
      </w:r>
      <w:r>
        <w:rPr>
          <w:rFonts w:ascii="宋体" w:hAnsi="宋体" w:eastAsia="宋体" w:cs="宋体"/>
          <w:color w:val="333333"/>
          <w:kern w:val="0"/>
          <w:szCs w:val="21"/>
        </w:rPr>
        <w:br w:type="textWrapping"/>
      </w:r>
      <w:r>
        <w:rPr>
          <w:rFonts w:ascii="宋体" w:hAnsi="宋体" w:eastAsia="宋体" w:cs="宋体"/>
          <w:color w:val="333333"/>
          <w:kern w:val="0"/>
          <w:szCs w:val="21"/>
        </w:rPr>
        <w:t>　　第十二条  继续教育小时可参照以下办法认证：</w:t>
      </w:r>
      <w:r>
        <w:rPr>
          <w:rFonts w:ascii="宋体" w:hAnsi="宋体" w:eastAsia="宋体" w:cs="宋体"/>
          <w:color w:val="333333"/>
          <w:kern w:val="0"/>
          <w:szCs w:val="21"/>
        </w:rPr>
        <w:br w:type="textWrapping"/>
      </w:r>
      <w:r>
        <w:rPr>
          <w:rFonts w:ascii="宋体" w:hAnsi="宋体" w:eastAsia="宋体" w:cs="宋体"/>
          <w:color w:val="333333"/>
          <w:kern w:val="0"/>
          <w:szCs w:val="21"/>
        </w:rPr>
        <w:t>　　1、参加各级继续教育基地举办的继续教育培训班学习，小时数由基地同级管理部门按其批准小时数认证。</w:t>
      </w:r>
      <w:r>
        <w:rPr>
          <w:rFonts w:ascii="宋体" w:hAnsi="宋体" w:eastAsia="宋体" w:cs="宋体"/>
          <w:color w:val="333333"/>
          <w:kern w:val="0"/>
          <w:szCs w:val="21"/>
        </w:rPr>
        <w:br w:type="textWrapping"/>
      </w:r>
      <w:r>
        <w:rPr>
          <w:rFonts w:ascii="宋体" w:hAnsi="宋体" w:eastAsia="宋体" w:cs="宋体"/>
          <w:color w:val="333333"/>
          <w:kern w:val="0"/>
          <w:szCs w:val="21"/>
        </w:rPr>
        <w:t>　　2、参加培训、研修活动。</w:t>
      </w:r>
      <w:r>
        <w:rPr>
          <w:rFonts w:ascii="宋体" w:hAnsi="宋体" w:eastAsia="宋体" w:cs="宋体"/>
          <w:color w:val="333333"/>
          <w:kern w:val="0"/>
          <w:szCs w:val="21"/>
        </w:rPr>
        <w:br w:type="textWrapping"/>
      </w:r>
      <w:r>
        <w:rPr>
          <w:rFonts w:ascii="宋体" w:hAnsi="宋体" w:eastAsia="宋体" w:cs="宋体"/>
          <w:color w:val="333333"/>
          <w:kern w:val="0"/>
          <w:szCs w:val="21"/>
        </w:rPr>
        <w:t>　　参加国家部委及国（境）外举办的培训、研修活动，小时数由选派单位的上级行政主管部门或行业组织认证；参加省市有关部门、行业组织主办或委托举办的培训、研修活动，小时数由主办单位认证。</w:t>
      </w:r>
      <w:r>
        <w:rPr>
          <w:rFonts w:ascii="宋体" w:hAnsi="宋体" w:eastAsia="宋体" w:cs="宋体"/>
          <w:color w:val="333333"/>
          <w:kern w:val="0"/>
          <w:szCs w:val="21"/>
        </w:rPr>
        <w:br w:type="textWrapping"/>
      </w:r>
      <w:r>
        <w:rPr>
          <w:rFonts w:ascii="宋体" w:hAnsi="宋体" w:eastAsia="宋体" w:cs="宋体"/>
          <w:color w:val="333333"/>
          <w:kern w:val="0"/>
          <w:szCs w:val="21"/>
        </w:rPr>
        <w:t>　　3、参加学历、学位教育或课程进修，凡考试考核合格者，每门课认证15小时。</w:t>
      </w:r>
      <w:r>
        <w:rPr>
          <w:rFonts w:ascii="宋体" w:hAnsi="宋体" w:eastAsia="宋体" w:cs="宋体"/>
          <w:color w:val="333333"/>
          <w:kern w:val="0"/>
          <w:szCs w:val="21"/>
        </w:rPr>
        <w:br w:type="textWrapping"/>
      </w:r>
      <w:r>
        <w:rPr>
          <w:rFonts w:ascii="宋体" w:hAnsi="宋体" w:eastAsia="宋体" w:cs="宋体"/>
          <w:color w:val="333333"/>
          <w:kern w:val="0"/>
          <w:szCs w:val="21"/>
        </w:rPr>
        <w:t>　　4、参加学术会议。</w:t>
      </w:r>
      <w:r>
        <w:rPr>
          <w:rFonts w:ascii="宋体" w:hAnsi="宋体" w:eastAsia="宋体" w:cs="宋体"/>
          <w:color w:val="333333"/>
          <w:kern w:val="0"/>
          <w:szCs w:val="21"/>
        </w:rPr>
        <w:br w:type="textWrapping"/>
      </w:r>
      <w:r>
        <w:rPr>
          <w:rFonts w:ascii="宋体" w:hAnsi="宋体" w:eastAsia="宋体" w:cs="宋体"/>
          <w:color w:val="333333"/>
          <w:kern w:val="0"/>
          <w:szCs w:val="21"/>
        </w:rPr>
        <w:t>　　参加国家部委举办的学术会议：认证12个小时。报告论文者，2000字以内，另加6个小时；2000字以上，另加8个小时；参加省级学术会议：认证8个小时。报告论文者，2000字以内，另加4个小时；2000字以上，另加6个小时。参加者的继续教育小时数由单位人事部门认证。</w:t>
      </w:r>
      <w:r>
        <w:rPr>
          <w:rFonts w:ascii="宋体" w:hAnsi="宋体" w:eastAsia="宋体" w:cs="宋体"/>
          <w:color w:val="333333"/>
          <w:kern w:val="0"/>
          <w:szCs w:val="21"/>
        </w:rPr>
        <w:br w:type="textWrapping"/>
      </w:r>
      <w:r>
        <w:rPr>
          <w:rFonts w:ascii="宋体" w:hAnsi="宋体" w:eastAsia="宋体" w:cs="宋体"/>
          <w:color w:val="333333"/>
          <w:kern w:val="0"/>
          <w:szCs w:val="21"/>
        </w:rPr>
        <w:t>　　5、课题研究与项目开发。</w:t>
      </w:r>
      <w:r>
        <w:rPr>
          <w:rFonts w:ascii="宋体" w:hAnsi="宋体" w:eastAsia="宋体" w:cs="宋体"/>
          <w:color w:val="333333"/>
          <w:kern w:val="0"/>
          <w:szCs w:val="21"/>
        </w:rPr>
        <w:br w:type="textWrapping"/>
      </w:r>
      <w:r>
        <w:rPr>
          <w:rFonts w:ascii="宋体" w:hAnsi="宋体" w:eastAsia="宋体" w:cs="宋体"/>
          <w:color w:val="333333"/>
          <w:kern w:val="0"/>
          <w:szCs w:val="21"/>
        </w:rPr>
        <w:t>　　国家级课题（项目）：主课题（项目）组人员前5名每年分别认证64小时、56小时、48小时、40小时、32小时；子课题（项目）组人员前3名，每年分别认证48小时、40小时、32小时。</w:t>
      </w:r>
      <w:r>
        <w:rPr>
          <w:rFonts w:ascii="宋体" w:hAnsi="宋体" w:eastAsia="宋体" w:cs="宋体"/>
          <w:color w:val="333333"/>
          <w:kern w:val="0"/>
          <w:szCs w:val="21"/>
        </w:rPr>
        <w:br w:type="textWrapping"/>
      </w:r>
      <w:r>
        <w:rPr>
          <w:rFonts w:ascii="宋体" w:hAnsi="宋体" w:eastAsia="宋体" w:cs="宋体"/>
          <w:color w:val="333333"/>
          <w:kern w:val="0"/>
          <w:szCs w:val="21"/>
        </w:rPr>
        <w:t>　　省级课题（项目）：主课题（项目）组人员前3名，每年分别认证56小时、48小时、40小时；子课题（项目）组人员前3名，每年分别认证40小时、32小时、24小时。</w:t>
      </w:r>
      <w:r>
        <w:rPr>
          <w:rFonts w:ascii="宋体" w:hAnsi="宋体" w:eastAsia="宋体" w:cs="宋体"/>
          <w:color w:val="333333"/>
          <w:kern w:val="0"/>
          <w:szCs w:val="21"/>
        </w:rPr>
        <w:br w:type="textWrapping"/>
      </w:r>
      <w:r>
        <w:rPr>
          <w:rFonts w:ascii="宋体" w:hAnsi="宋体" w:eastAsia="宋体" w:cs="宋体"/>
          <w:color w:val="333333"/>
          <w:kern w:val="0"/>
          <w:szCs w:val="21"/>
        </w:rPr>
        <w:t>　　市级课题（项目）：主课题（项目）组人员前3名，每年分别认证40小时、32小时、24小时；子课题（项目）组人员前3名，每年分别认证32小时、24小时、16小时。</w:t>
      </w:r>
      <w:r>
        <w:rPr>
          <w:rFonts w:ascii="宋体" w:hAnsi="宋体" w:eastAsia="宋体" w:cs="宋体"/>
          <w:color w:val="333333"/>
          <w:kern w:val="0"/>
          <w:szCs w:val="21"/>
        </w:rPr>
        <w:br w:type="textWrapping"/>
      </w:r>
      <w:r>
        <w:rPr>
          <w:rFonts w:ascii="宋体" w:hAnsi="宋体" w:eastAsia="宋体" w:cs="宋体"/>
          <w:color w:val="333333"/>
          <w:kern w:val="0"/>
          <w:szCs w:val="21"/>
        </w:rPr>
        <w:t>　　参加课题研究者的继续教育小时数由单位人事部门认证。</w:t>
      </w:r>
      <w:r>
        <w:rPr>
          <w:rFonts w:ascii="宋体" w:hAnsi="宋体" w:eastAsia="宋体" w:cs="宋体"/>
          <w:color w:val="333333"/>
          <w:kern w:val="0"/>
          <w:szCs w:val="21"/>
        </w:rPr>
        <w:br w:type="textWrapping"/>
      </w:r>
      <w:r>
        <w:rPr>
          <w:rFonts w:ascii="宋体" w:hAnsi="宋体" w:eastAsia="宋体" w:cs="宋体"/>
          <w:color w:val="333333"/>
          <w:kern w:val="0"/>
          <w:szCs w:val="21"/>
        </w:rPr>
        <w:t>　　6、出版著作（译作）或发表论文。</w:t>
      </w:r>
      <w:r>
        <w:rPr>
          <w:rFonts w:ascii="宋体" w:hAnsi="宋体" w:eastAsia="宋体" w:cs="宋体"/>
          <w:color w:val="333333"/>
          <w:kern w:val="0"/>
          <w:szCs w:val="21"/>
        </w:rPr>
        <w:br w:type="textWrapping"/>
      </w:r>
      <w:r>
        <w:rPr>
          <w:rFonts w:ascii="宋体" w:hAnsi="宋体" w:eastAsia="宋体" w:cs="宋体"/>
          <w:color w:val="333333"/>
          <w:kern w:val="0"/>
          <w:szCs w:val="21"/>
        </w:rPr>
        <w:t>　　出版著作（译作）或在公开出版刊物（增刊、副刊除外）上发表论文的，署名前3名的作者按以下标准计算小时：出版著作（译作）每万字计12小时；国外及国家一级学会主办的专业刊物每篇计算48小时，省级专业刊物（核心期刊）每篇计40小时；具有国际标准刊号（ISSN）和国内统一刊号（CN）的刊物每篇计24小时。</w:t>
      </w:r>
      <w:r>
        <w:rPr>
          <w:rFonts w:ascii="宋体" w:hAnsi="宋体" w:eastAsia="宋体" w:cs="宋体"/>
          <w:color w:val="333333"/>
          <w:kern w:val="0"/>
          <w:szCs w:val="21"/>
        </w:rPr>
        <w:br w:type="textWrapping"/>
      </w:r>
      <w:r>
        <w:rPr>
          <w:rFonts w:ascii="宋体" w:hAnsi="宋体" w:eastAsia="宋体" w:cs="宋体"/>
          <w:color w:val="333333"/>
          <w:kern w:val="0"/>
          <w:szCs w:val="21"/>
        </w:rPr>
        <w:t>　　出版著作或发表论文的继续教育小时数由单位人事部门认证。</w:t>
      </w:r>
      <w:r>
        <w:rPr>
          <w:rFonts w:ascii="宋体" w:hAnsi="宋体" w:eastAsia="宋体" w:cs="宋体"/>
          <w:color w:val="333333"/>
          <w:kern w:val="0"/>
          <w:szCs w:val="21"/>
        </w:rPr>
        <w:br w:type="textWrapping"/>
      </w:r>
      <w:r>
        <w:rPr>
          <w:rFonts w:ascii="宋体" w:hAnsi="宋体" w:eastAsia="宋体" w:cs="宋体"/>
          <w:color w:val="333333"/>
          <w:kern w:val="0"/>
          <w:szCs w:val="21"/>
        </w:rPr>
        <w:t>　　7、获得中国专利局授予的发明专利的，署名前3名的专利权人每项计56小时；获得中国专利局授予的实用新型专利或外观设计专利的，署名前3名的专利权人每项计40小时。</w:t>
      </w:r>
      <w:r>
        <w:rPr>
          <w:rFonts w:ascii="宋体" w:hAnsi="宋体" w:eastAsia="宋体" w:cs="宋体"/>
          <w:color w:val="333333"/>
          <w:kern w:val="0"/>
          <w:szCs w:val="21"/>
        </w:rPr>
        <w:br w:type="textWrapping"/>
      </w:r>
      <w:r>
        <w:rPr>
          <w:rFonts w:ascii="宋体" w:hAnsi="宋体" w:eastAsia="宋体" w:cs="宋体"/>
          <w:color w:val="333333"/>
          <w:kern w:val="0"/>
          <w:szCs w:val="21"/>
        </w:rPr>
        <w:t>　　8、获得国家级科技进步奖的，署名前3名的获奖者每项计56小时；获得省、部级及以上科技进步奖的，署名前3名的获奖者每项计48小时。</w:t>
      </w:r>
      <w:r>
        <w:rPr>
          <w:rFonts w:ascii="宋体" w:hAnsi="宋体" w:eastAsia="宋体" w:cs="宋体"/>
          <w:color w:val="333333"/>
          <w:kern w:val="0"/>
          <w:szCs w:val="21"/>
        </w:rPr>
        <w:br w:type="textWrapping"/>
      </w:r>
      <w:r>
        <w:rPr>
          <w:rFonts w:ascii="宋体" w:hAnsi="宋体" w:eastAsia="宋体" w:cs="宋体"/>
          <w:color w:val="333333"/>
          <w:kern w:val="0"/>
          <w:szCs w:val="21"/>
        </w:rPr>
        <w:t>　　9、为本专业继续教育活动提供教学的，可获得所授课时的2倍小时。</w:t>
      </w:r>
      <w:r>
        <w:rPr>
          <w:rFonts w:ascii="宋体" w:hAnsi="宋体" w:eastAsia="宋体" w:cs="宋体"/>
          <w:color w:val="333333"/>
          <w:kern w:val="0"/>
          <w:szCs w:val="21"/>
        </w:rPr>
        <w:br w:type="textWrapping"/>
      </w:r>
      <w:r>
        <w:rPr>
          <w:rFonts w:ascii="宋体" w:hAnsi="宋体" w:eastAsia="宋体" w:cs="宋体"/>
          <w:color w:val="333333"/>
          <w:kern w:val="0"/>
          <w:szCs w:val="21"/>
        </w:rPr>
        <w:t>　　10、参加职称晋升计算机应用能力每个模块计8小时；外语考试合格者，一次性登记继续教育40小时。</w:t>
      </w:r>
      <w:r>
        <w:rPr>
          <w:rFonts w:ascii="宋体" w:hAnsi="宋体" w:eastAsia="宋体" w:cs="宋体"/>
          <w:color w:val="333333"/>
          <w:kern w:val="0"/>
          <w:szCs w:val="21"/>
        </w:rPr>
        <w:br w:type="textWrapping"/>
      </w:r>
      <w:r>
        <w:rPr>
          <w:rFonts w:ascii="宋体" w:hAnsi="宋体" w:eastAsia="宋体" w:cs="宋体"/>
          <w:color w:val="333333"/>
          <w:kern w:val="0"/>
          <w:szCs w:val="21"/>
        </w:rPr>
        <w:t>　　11、通过全国高级专业技术资格考试一次性登记继续教育48小时；通过全国中级专业技术资格考试一次性登记继续教育40小时；通过全国初级专业技术资格考试一次性登记继续教育32小时；通过全国执业资格或职业水平考试一次性登记继续教育48小时。</w:t>
      </w:r>
      <w:r>
        <w:rPr>
          <w:rFonts w:ascii="宋体" w:hAnsi="宋体" w:eastAsia="宋体" w:cs="宋体"/>
          <w:color w:val="333333"/>
          <w:kern w:val="0"/>
          <w:szCs w:val="21"/>
        </w:rPr>
        <w:br w:type="textWrapping"/>
      </w:r>
      <w:r>
        <w:rPr>
          <w:rFonts w:ascii="宋体" w:hAnsi="宋体" w:eastAsia="宋体" w:cs="宋体"/>
          <w:color w:val="333333"/>
          <w:kern w:val="0"/>
          <w:szCs w:val="21"/>
        </w:rPr>
        <w:t>　　12、同一成果或内容，按最高级别计算、不重复计算。</w:t>
      </w:r>
      <w:r>
        <w:rPr>
          <w:rFonts w:ascii="宋体" w:hAnsi="宋体" w:eastAsia="宋体" w:cs="宋体"/>
          <w:color w:val="333333"/>
          <w:kern w:val="0"/>
          <w:szCs w:val="21"/>
        </w:rPr>
        <w:br w:type="textWrapping"/>
      </w:r>
      <w:r>
        <w:rPr>
          <w:rFonts w:ascii="宋体" w:hAnsi="宋体" w:eastAsia="宋体" w:cs="宋体"/>
          <w:color w:val="333333"/>
          <w:kern w:val="0"/>
          <w:szCs w:val="21"/>
        </w:rPr>
        <w:t>　　13、参加援藏、援外及到基层、贫困地区参加支教、支农、支医和扶贫工作的专业技术人员，按每年80小时的标准认证本人继续教育时间。</w:t>
      </w:r>
      <w:r>
        <w:rPr>
          <w:rFonts w:ascii="宋体" w:hAnsi="宋体" w:eastAsia="宋体" w:cs="宋体"/>
          <w:color w:val="333333"/>
          <w:kern w:val="0"/>
          <w:szCs w:val="21"/>
        </w:rPr>
        <w:br w:type="textWrapping"/>
      </w:r>
      <w:r>
        <w:rPr>
          <w:rFonts w:ascii="宋体" w:hAnsi="宋体" w:eastAsia="宋体" w:cs="宋体"/>
          <w:color w:val="333333"/>
          <w:kern w:val="0"/>
          <w:szCs w:val="21"/>
        </w:rPr>
        <w:t>　　14、其他类别的继续教育小时由各级人力资源社会保障（系统、行业）部门参照上述标准确认。</w:t>
      </w:r>
      <w:r>
        <w:rPr>
          <w:rFonts w:ascii="宋体" w:hAnsi="宋体" w:eastAsia="宋体" w:cs="宋体"/>
          <w:color w:val="333333"/>
          <w:kern w:val="0"/>
          <w:szCs w:val="21"/>
        </w:rPr>
        <w:br w:type="textWrapping"/>
      </w:r>
      <w:r>
        <w:rPr>
          <w:rFonts w:ascii="宋体" w:hAnsi="宋体" w:eastAsia="宋体" w:cs="宋体"/>
          <w:color w:val="333333"/>
          <w:kern w:val="0"/>
          <w:szCs w:val="21"/>
        </w:rPr>
        <w:t>　　第十三条  每年80小时继续教育学习任务原则上按年度完成。有下列情况之一的，继续教育学习任务可顺延至下一年度一并完成：</w:t>
      </w:r>
      <w:r>
        <w:rPr>
          <w:rFonts w:ascii="宋体" w:hAnsi="宋体" w:eastAsia="宋体" w:cs="宋体"/>
          <w:color w:val="333333"/>
          <w:kern w:val="0"/>
          <w:szCs w:val="21"/>
        </w:rPr>
        <w:br w:type="textWrapping"/>
      </w:r>
      <w:r>
        <w:rPr>
          <w:rFonts w:ascii="宋体" w:hAnsi="宋体" w:eastAsia="宋体" w:cs="宋体"/>
          <w:color w:val="333333"/>
          <w:kern w:val="0"/>
          <w:szCs w:val="21"/>
        </w:rPr>
        <w:t>　　1、年度内在境外工作超过6个月的；</w:t>
      </w:r>
      <w:r>
        <w:rPr>
          <w:rFonts w:ascii="宋体" w:hAnsi="宋体" w:eastAsia="宋体" w:cs="宋体"/>
          <w:color w:val="333333"/>
          <w:kern w:val="0"/>
          <w:szCs w:val="21"/>
        </w:rPr>
        <w:br w:type="textWrapping"/>
      </w:r>
      <w:r>
        <w:rPr>
          <w:rFonts w:ascii="宋体" w:hAnsi="宋体" w:eastAsia="宋体" w:cs="宋体"/>
          <w:color w:val="333333"/>
          <w:kern w:val="0"/>
          <w:szCs w:val="21"/>
        </w:rPr>
        <w:t>　　2、年度内因病假超过6个月的；</w:t>
      </w:r>
      <w:r>
        <w:rPr>
          <w:rFonts w:ascii="宋体" w:hAnsi="宋体" w:eastAsia="宋体" w:cs="宋体"/>
          <w:color w:val="333333"/>
          <w:kern w:val="0"/>
          <w:szCs w:val="21"/>
        </w:rPr>
        <w:br w:type="textWrapping"/>
      </w:r>
      <w:r>
        <w:rPr>
          <w:rFonts w:ascii="宋体" w:hAnsi="宋体" w:eastAsia="宋体" w:cs="宋体"/>
          <w:color w:val="333333"/>
          <w:kern w:val="0"/>
          <w:szCs w:val="21"/>
        </w:rPr>
        <w:t>　　3、生育；</w:t>
      </w:r>
      <w:r>
        <w:rPr>
          <w:rFonts w:ascii="宋体" w:hAnsi="宋体" w:eastAsia="宋体" w:cs="宋体"/>
          <w:color w:val="333333"/>
          <w:kern w:val="0"/>
          <w:szCs w:val="21"/>
        </w:rPr>
        <w:br w:type="textWrapping"/>
      </w:r>
      <w:r>
        <w:rPr>
          <w:rFonts w:ascii="宋体" w:hAnsi="宋体" w:eastAsia="宋体" w:cs="宋体"/>
          <w:color w:val="333333"/>
          <w:kern w:val="0"/>
          <w:szCs w:val="21"/>
        </w:rPr>
        <w:t>　　4、经上级部门批准的其他情况。</w:t>
      </w:r>
      <w:r>
        <w:rPr>
          <w:rFonts w:ascii="宋体" w:hAnsi="宋体" w:eastAsia="宋体" w:cs="宋体"/>
          <w:color w:val="333333"/>
          <w:kern w:val="0"/>
          <w:szCs w:val="21"/>
        </w:rPr>
        <w:br w:type="textWrapping"/>
      </w:r>
      <w:r>
        <w:rPr>
          <w:rFonts w:ascii="宋体" w:hAnsi="宋体" w:eastAsia="宋体" w:cs="宋体"/>
          <w:color w:val="333333"/>
          <w:kern w:val="0"/>
          <w:szCs w:val="21"/>
        </w:rPr>
        <w:t>　　第十四条  专业技术人员个人在办理登记手续时，应提交本年度参加继续教育的各种有效证明，包括毕业证书、培训证书、结业证书、成绩证明、成果鉴定证明书、著作论文等原件。</w:t>
      </w:r>
      <w:r>
        <w:rPr>
          <w:rFonts w:ascii="宋体" w:hAnsi="宋体" w:eastAsia="宋体" w:cs="宋体"/>
          <w:color w:val="333333"/>
          <w:kern w:val="0"/>
          <w:szCs w:val="21"/>
        </w:rPr>
        <w:br w:type="textWrapping"/>
      </w:r>
      <w:r>
        <w:rPr>
          <w:rFonts w:ascii="宋体" w:hAnsi="宋体" w:eastAsia="宋体" w:cs="宋体"/>
          <w:color w:val="333333"/>
          <w:kern w:val="0"/>
          <w:szCs w:val="21"/>
        </w:rPr>
        <w:t>　　第十五条  继续教育证书的登记工作由专业技术人员所在单位人事部门或经政府人力资源和社会保障部门以及上级业务主管部门认证委托的继续教育基地负责。</w:t>
      </w:r>
    </w:p>
    <w:p>
      <w:pPr>
        <w:widowControl/>
        <w:shd w:val="clear" w:color="auto" w:fill="FFFFFF"/>
        <w:spacing w:before="100" w:beforeAutospacing="1" w:after="100" w:afterAutospacing="1" w:line="345" w:lineRule="atLeast"/>
        <w:jc w:val="center"/>
        <w:rPr>
          <w:rFonts w:ascii="宋体" w:hAnsi="宋体" w:eastAsia="宋体" w:cs="宋体"/>
          <w:color w:val="333333"/>
          <w:kern w:val="0"/>
          <w:szCs w:val="21"/>
        </w:rPr>
      </w:pPr>
      <w:r>
        <w:rPr>
          <w:rFonts w:ascii="宋体" w:hAnsi="宋体" w:eastAsia="宋体" w:cs="宋体"/>
          <w:b/>
          <w:bCs/>
          <w:color w:val="333333"/>
          <w:kern w:val="0"/>
          <w:szCs w:val="21"/>
        </w:rPr>
        <w:t>第四章  证书审验</w:t>
      </w:r>
    </w:p>
    <w:p>
      <w:pPr>
        <w:widowControl/>
        <w:shd w:val="clear" w:color="auto" w:fill="FFFFFF"/>
        <w:spacing w:before="100" w:beforeAutospacing="1" w:after="100" w:afterAutospacing="1" w:line="345" w:lineRule="atLeast"/>
        <w:jc w:val="left"/>
        <w:rPr>
          <w:rFonts w:ascii="宋体" w:hAnsi="宋体" w:eastAsia="宋体" w:cs="宋体"/>
          <w:color w:val="333333"/>
          <w:kern w:val="0"/>
          <w:szCs w:val="21"/>
        </w:rPr>
      </w:pPr>
      <w:r>
        <w:rPr>
          <w:rFonts w:ascii="宋体" w:hAnsi="宋体" w:eastAsia="宋体" w:cs="宋体"/>
          <w:color w:val="333333"/>
          <w:kern w:val="0"/>
          <w:szCs w:val="21"/>
        </w:rPr>
        <w:t>　　第十六条  按规定完成继续教育学习任务并考核（考试）合格者，由证书审验部门在证书上审验盖章有效。</w:t>
      </w:r>
      <w:r>
        <w:rPr>
          <w:rFonts w:ascii="宋体" w:hAnsi="宋体" w:eastAsia="宋体" w:cs="宋体"/>
          <w:color w:val="333333"/>
          <w:kern w:val="0"/>
          <w:szCs w:val="21"/>
        </w:rPr>
        <w:br w:type="textWrapping"/>
      </w:r>
      <w:r>
        <w:rPr>
          <w:rFonts w:ascii="宋体" w:hAnsi="宋体" w:eastAsia="宋体" w:cs="宋体"/>
          <w:color w:val="333333"/>
          <w:kern w:val="0"/>
          <w:szCs w:val="21"/>
        </w:rPr>
        <w:t>　　证书审验工作实行分级管理：</w:t>
      </w:r>
      <w:r>
        <w:rPr>
          <w:rFonts w:ascii="宋体" w:hAnsi="宋体" w:eastAsia="宋体" w:cs="宋体"/>
          <w:color w:val="333333"/>
          <w:kern w:val="0"/>
          <w:szCs w:val="21"/>
        </w:rPr>
        <w:br w:type="textWrapping"/>
      </w:r>
      <w:r>
        <w:rPr>
          <w:rFonts w:ascii="宋体" w:hAnsi="宋体" w:eastAsia="宋体" w:cs="宋体"/>
          <w:color w:val="333333"/>
          <w:kern w:val="0"/>
          <w:szCs w:val="21"/>
        </w:rPr>
        <w:t>　　各市、县、区、省级各单位专业技术人员的《证书》由本人单位人事部门负责审验；流动专业技术人员的《证书》由档案托管机构审验。</w:t>
      </w:r>
    </w:p>
    <w:p>
      <w:pPr>
        <w:widowControl/>
        <w:shd w:val="clear" w:color="auto" w:fill="FFFFFF"/>
        <w:spacing w:before="100" w:beforeAutospacing="1" w:after="100" w:afterAutospacing="1" w:line="345" w:lineRule="atLeast"/>
        <w:jc w:val="center"/>
        <w:rPr>
          <w:rFonts w:ascii="宋体" w:hAnsi="宋体" w:eastAsia="宋体" w:cs="宋体"/>
          <w:color w:val="333333"/>
          <w:kern w:val="0"/>
          <w:szCs w:val="21"/>
        </w:rPr>
      </w:pPr>
      <w:r>
        <w:rPr>
          <w:rFonts w:ascii="宋体" w:hAnsi="宋体" w:eastAsia="宋体" w:cs="宋体"/>
          <w:b/>
          <w:bCs/>
          <w:color w:val="333333"/>
          <w:kern w:val="0"/>
          <w:szCs w:val="21"/>
        </w:rPr>
        <w:t>第五章  证书复验</w:t>
      </w:r>
    </w:p>
    <w:p>
      <w:pPr>
        <w:widowControl/>
        <w:shd w:val="clear" w:color="auto" w:fill="FFFFFF"/>
        <w:spacing w:before="100" w:beforeAutospacing="1" w:after="100" w:afterAutospacing="1" w:line="345" w:lineRule="atLeast"/>
        <w:jc w:val="left"/>
        <w:rPr>
          <w:rFonts w:ascii="宋体" w:hAnsi="宋体" w:eastAsia="宋体" w:cs="宋体"/>
          <w:color w:val="333333"/>
          <w:kern w:val="0"/>
          <w:szCs w:val="21"/>
        </w:rPr>
      </w:pPr>
      <w:r>
        <w:rPr>
          <w:rFonts w:ascii="宋体" w:hAnsi="宋体" w:eastAsia="宋体" w:cs="宋体"/>
          <w:color w:val="333333"/>
          <w:kern w:val="0"/>
          <w:szCs w:val="21"/>
        </w:rPr>
        <w:t>　　第十七条  拟晋升高一级专业技术资格的人员在上报评审材料时，将继续教育证书及各年度参加继续教育有效证明交由本单位人事部门审核后，在职称评审材料上报时按照职称申报渠道同时上报，证书复验由各级人社部门授权的评审委员会复验。以考代评人员的证书复验工作与第四章《证书审验》工作一并进行。证书复验结果（合格）作为专业技术职务晋升的必备条件。</w:t>
      </w:r>
    </w:p>
    <w:p>
      <w:pPr>
        <w:widowControl/>
        <w:shd w:val="clear" w:color="auto" w:fill="FFFFFF"/>
        <w:spacing w:before="100" w:beforeAutospacing="1" w:after="100" w:afterAutospacing="1" w:line="345" w:lineRule="atLeast"/>
        <w:jc w:val="center"/>
        <w:rPr>
          <w:rFonts w:ascii="宋体" w:hAnsi="宋体" w:eastAsia="宋体" w:cs="宋体"/>
          <w:color w:val="333333"/>
          <w:kern w:val="0"/>
          <w:szCs w:val="21"/>
        </w:rPr>
      </w:pPr>
      <w:r>
        <w:rPr>
          <w:rFonts w:ascii="宋体" w:hAnsi="宋体" w:eastAsia="宋体" w:cs="宋体"/>
          <w:b/>
          <w:bCs/>
          <w:color w:val="333333"/>
          <w:kern w:val="0"/>
          <w:szCs w:val="21"/>
        </w:rPr>
        <w:t>第六章  验证内容</w:t>
      </w:r>
    </w:p>
    <w:p>
      <w:pPr>
        <w:widowControl/>
        <w:shd w:val="clear" w:color="auto" w:fill="FFFFFF"/>
        <w:spacing w:before="100" w:beforeAutospacing="1" w:after="100" w:afterAutospacing="1" w:line="345" w:lineRule="atLeast"/>
        <w:jc w:val="left"/>
        <w:rPr>
          <w:rFonts w:ascii="宋体" w:hAnsi="宋体" w:eastAsia="宋体" w:cs="宋体"/>
          <w:color w:val="333333"/>
          <w:kern w:val="0"/>
          <w:szCs w:val="21"/>
        </w:rPr>
      </w:pPr>
      <w:r>
        <w:rPr>
          <w:rFonts w:ascii="宋体" w:hAnsi="宋体" w:eastAsia="宋体" w:cs="宋体"/>
          <w:color w:val="333333"/>
          <w:kern w:val="0"/>
          <w:szCs w:val="21"/>
        </w:rPr>
        <w:t>　　第十八条  验证内容：</w:t>
      </w:r>
      <w:r>
        <w:rPr>
          <w:rFonts w:ascii="宋体" w:hAnsi="宋体" w:eastAsia="宋体" w:cs="宋体"/>
          <w:color w:val="333333"/>
          <w:kern w:val="0"/>
          <w:szCs w:val="21"/>
        </w:rPr>
        <w:br w:type="textWrapping"/>
      </w:r>
      <w:r>
        <w:rPr>
          <w:rFonts w:ascii="宋体" w:hAnsi="宋体" w:eastAsia="宋体" w:cs="宋体"/>
          <w:color w:val="333333"/>
          <w:kern w:val="0"/>
          <w:szCs w:val="21"/>
        </w:rPr>
        <w:t>　　1、是否按规定的项目如实填写、有无签章。</w:t>
      </w:r>
      <w:r>
        <w:rPr>
          <w:rFonts w:ascii="宋体" w:hAnsi="宋体" w:eastAsia="宋体" w:cs="宋体"/>
          <w:color w:val="333333"/>
          <w:kern w:val="0"/>
          <w:szCs w:val="21"/>
        </w:rPr>
        <w:br w:type="textWrapping"/>
      </w:r>
      <w:r>
        <w:rPr>
          <w:rFonts w:ascii="宋体" w:hAnsi="宋体" w:eastAsia="宋体" w:cs="宋体"/>
          <w:color w:val="333333"/>
          <w:kern w:val="0"/>
          <w:szCs w:val="21"/>
        </w:rPr>
        <w:t>　　2、是否达到规定小时、成绩是否合格。</w:t>
      </w:r>
      <w:r>
        <w:rPr>
          <w:rFonts w:ascii="宋体" w:hAnsi="宋体" w:eastAsia="宋体" w:cs="宋体"/>
          <w:color w:val="333333"/>
          <w:kern w:val="0"/>
          <w:szCs w:val="21"/>
        </w:rPr>
        <w:br w:type="textWrapping"/>
      </w:r>
      <w:r>
        <w:rPr>
          <w:rFonts w:ascii="宋体" w:hAnsi="宋体" w:eastAsia="宋体" w:cs="宋体"/>
          <w:color w:val="333333"/>
          <w:kern w:val="0"/>
          <w:szCs w:val="21"/>
        </w:rPr>
        <w:t>　　3、有关证明材料是否齐全、真实等。</w:t>
      </w:r>
    </w:p>
    <w:p>
      <w:pPr>
        <w:widowControl/>
        <w:shd w:val="clear" w:color="auto" w:fill="FFFFFF"/>
        <w:spacing w:before="100" w:beforeAutospacing="1" w:after="100" w:afterAutospacing="1" w:line="345" w:lineRule="atLeast"/>
        <w:jc w:val="center"/>
        <w:rPr>
          <w:rFonts w:ascii="宋体" w:hAnsi="宋体" w:eastAsia="宋体" w:cs="宋体"/>
          <w:color w:val="333333"/>
          <w:kern w:val="0"/>
          <w:szCs w:val="21"/>
        </w:rPr>
      </w:pPr>
      <w:r>
        <w:rPr>
          <w:rFonts w:ascii="宋体" w:hAnsi="宋体" w:eastAsia="宋体" w:cs="宋体"/>
          <w:b/>
          <w:bCs/>
          <w:color w:val="333333"/>
          <w:kern w:val="0"/>
          <w:szCs w:val="21"/>
        </w:rPr>
        <w:t>第七章  证书使用</w:t>
      </w:r>
    </w:p>
    <w:p>
      <w:pPr>
        <w:widowControl/>
        <w:shd w:val="clear" w:color="auto" w:fill="FFFFFF"/>
        <w:spacing w:before="100" w:beforeAutospacing="1" w:after="100" w:afterAutospacing="1" w:line="345" w:lineRule="atLeast"/>
        <w:jc w:val="left"/>
        <w:rPr>
          <w:rFonts w:ascii="宋体" w:hAnsi="宋体" w:eastAsia="宋体" w:cs="宋体"/>
          <w:color w:val="333333"/>
          <w:kern w:val="0"/>
          <w:szCs w:val="21"/>
        </w:rPr>
      </w:pPr>
      <w:r>
        <w:rPr>
          <w:rFonts w:ascii="宋体" w:hAnsi="宋体" w:eastAsia="宋体" w:cs="宋体"/>
          <w:color w:val="333333"/>
          <w:kern w:val="0"/>
          <w:szCs w:val="21"/>
        </w:rPr>
        <w:t>　　第十九条  继续教育证书是系统记录专业技术人员接受继续教育情况的有效凭证，是专业技术人员考核的重要内容，是专业技术职务晋升的必备条件。</w:t>
      </w:r>
      <w:r>
        <w:rPr>
          <w:rFonts w:ascii="宋体" w:hAnsi="宋体" w:eastAsia="宋体" w:cs="宋体"/>
          <w:color w:val="333333"/>
          <w:kern w:val="0"/>
          <w:szCs w:val="21"/>
        </w:rPr>
        <w:br w:type="textWrapping"/>
      </w:r>
      <w:r>
        <w:rPr>
          <w:rFonts w:ascii="宋体" w:hAnsi="宋体" w:eastAsia="宋体" w:cs="宋体"/>
          <w:color w:val="333333"/>
          <w:kern w:val="0"/>
          <w:szCs w:val="21"/>
        </w:rPr>
        <w:t>　　第二十条  专业技术人员继续教育证书全省通用有效。</w:t>
      </w:r>
    </w:p>
    <w:p>
      <w:pPr>
        <w:widowControl/>
        <w:shd w:val="clear" w:color="auto" w:fill="FFFFFF"/>
        <w:spacing w:before="100" w:beforeAutospacing="1" w:after="100" w:afterAutospacing="1" w:line="345" w:lineRule="atLeast"/>
        <w:jc w:val="center"/>
        <w:rPr>
          <w:rFonts w:ascii="宋体" w:hAnsi="宋体" w:eastAsia="宋体" w:cs="宋体"/>
          <w:color w:val="333333"/>
          <w:kern w:val="0"/>
          <w:szCs w:val="21"/>
        </w:rPr>
      </w:pPr>
      <w:r>
        <w:rPr>
          <w:rFonts w:ascii="宋体" w:hAnsi="宋体" w:eastAsia="宋体" w:cs="宋体"/>
          <w:b/>
          <w:bCs/>
          <w:color w:val="333333"/>
          <w:kern w:val="0"/>
          <w:szCs w:val="21"/>
        </w:rPr>
        <w:t>第八章  附  则</w:t>
      </w:r>
    </w:p>
    <w:p>
      <w:pPr>
        <w:widowControl/>
        <w:shd w:val="clear" w:color="auto" w:fill="FFFFFF"/>
        <w:spacing w:before="100" w:beforeAutospacing="1" w:after="100" w:afterAutospacing="1" w:line="345" w:lineRule="atLeast"/>
        <w:jc w:val="left"/>
        <w:rPr>
          <w:rFonts w:ascii="宋体" w:hAnsi="宋体" w:eastAsia="宋体" w:cs="宋体"/>
          <w:color w:val="333333"/>
          <w:kern w:val="0"/>
          <w:szCs w:val="21"/>
        </w:rPr>
      </w:pPr>
      <w:r>
        <w:rPr>
          <w:rFonts w:ascii="宋体" w:hAnsi="宋体" w:eastAsia="宋体" w:cs="宋体"/>
          <w:color w:val="333333"/>
          <w:kern w:val="0"/>
          <w:szCs w:val="21"/>
        </w:rPr>
        <w:t>　　第二十一条  《证书》的发放、登记、审验必须客观真实，任何单位和个人不得伪造、翻印、涂改，不得以发证、登记、审验等名义乱收费。</w:t>
      </w:r>
      <w:r>
        <w:rPr>
          <w:rFonts w:ascii="宋体" w:hAnsi="宋体" w:eastAsia="宋体" w:cs="宋体"/>
          <w:color w:val="333333"/>
          <w:kern w:val="0"/>
          <w:szCs w:val="21"/>
        </w:rPr>
        <w:br w:type="textWrapping"/>
      </w:r>
      <w:r>
        <w:rPr>
          <w:rFonts w:ascii="宋体" w:hAnsi="宋体" w:eastAsia="宋体" w:cs="宋体"/>
          <w:color w:val="333333"/>
          <w:kern w:val="0"/>
          <w:szCs w:val="21"/>
        </w:rPr>
        <w:t>　　第二十二条  中央驻陕有关单位参照本办法执行。各市、各部门可依据本办法，结合各自的实际，制定《证书》登记管理实施细则，报省人力资源和社会保障厅备案。</w:t>
      </w:r>
      <w:r>
        <w:rPr>
          <w:rFonts w:ascii="宋体" w:hAnsi="宋体" w:eastAsia="宋体" w:cs="宋体"/>
          <w:color w:val="333333"/>
          <w:kern w:val="0"/>
          <w:szCs w:val="21"/>
        </w:rPr>
        <w:br w:type="textWrapping"/>
      </w:r>
      <w:r>
        <w:rPr>
          <w:rFonts w:ascii="宋体" w:hAnsi="宋体" w:eastAsia="宋体" w:cs="宋体"/>
          <w:color w:val="333333"/>
          <w:kern w:val="0"/>
          <w:szCs w:val="21"/>
        </w:rPr>
        <w:t>　　第二十三条  本《办法》自2016年6月27日起实施。省人社厅2013年10月14日颁布的《陕西省专业技术人员继续教育证书管理暂行办法》（陕人社发〔2013〕61号）同时废止。</w:t>
      </w:r>
    </w:p>
    <w:p>
      <w:pPr>
        <w:widowControl/>
        <w:shd w:val="clear" w:color="auto" w:fill="FFFFFF"/>
        <w:spacing w:before="100" w:beforeAutospacing="1" w:after="100" w:afterAutospacing="1" w:line="345" w:lineRule="atLeast"/>
        <w:jc w:val="left"/>
        <w:rPr>
          <w:rFonts w:ascii="宋体" w:hAnsi="宋体" w:eastAsia="宋体" w:cs="宋体"/>
          <w:color w:val="333333"/>
          <w:kern w:val="0"/>
          <w:szCs w:val="21"/>
        </w:rPr>
      </w:pPr>
      <w:r>
        <w:rPr>
          <w:rFonts w:ascii="宋体" w:hAnsi="宋体" w:eastAsia="宋体" w:cs="宋体"/>
          <w:color w:val="333333"/>
          <w:kern w:val="0"/>
          <w:szCs w:val="21"/>
        </w:rPr>
        <w:t>附件（</w:t>
      </w:r>
      <w:r>
        <w:fldChar w:fldCharType="begin"/>
      </w:r>
      <w:r>
        <w:instrText xml:space="preserve"> HYPERLINK "http://www.shaanxihrss.gov.cn/uploadfiles/files/20160713001027.doc" </w:instrText>
      </w:r>
      <w:r>
        <w:fldChar w:fldCharType="separate"/>
      </w:r>
      <w:r>
        <w:rPr>
          <w:rFonts w:ascii="宋体" w:hAnsi="宋体" w:eastAsia="宋体" w:cs="宋体"/>
          <w:color w:val="FF0000"/>
          <w:kern w:val="0"/>
          <w:szCs w:val="21"/>
        </w:rPr>
        <w:t>点击下载</w:t>
      </w:r>
      <w:r>
        <w:rPr>
          <w:rFonts w:ascii="宋体" w:hAnsi="宋体" w:eastAsia="宋体" w:cs="宋体"/>
          <w:color w:val="FF0000"/>
          <w:kern w:val="0"/>
          <w:szCs w:val="21"/>
        </w:rPr>
        <w:fldChar w:fldCharType="end"/>
      </w:r>
      <w:r>
        <w:rPr>
          <w:rFonts w:ascii="宋体" w:hAnsi="宋体" w:eastAsia="宋体" w:cs="宋体"/>
          <w:color w:val="333333"/>
          <w:kern w:val="0"/>
          <w:szCs w:val="21"/>
        </w:rPr>
        <w:t>）：1、陕西省专业技术人员继续教育证书申领表</w:t>
      </w:r>
      <w:r>
        <w:rPr>
          <w:rFonts w:ascii="宋体" w:hAnsi="宋体" w:eastAsia="宋体" w:cs="宋体"/>
          <w:color w:val="333333"/>
          <w:kern w:val="0"/>
          <w:szCs w:val="21"/>
        </w:rPr>
        <w:br w:type="textWrapping"/>
      </w:r>
      <w:r>
        <w:rPr>
          <w:rFonts w:ascii="宋体" w:hAnsi="宋体" w:eastAsia="宋体" w:cs="宋体"/>
          <w:color w:val="333333"/>
          <w:kern w:val="0"/>
          <w:szCs w:val="21"/>
        </w:rPr>
        <w:t>　　　　　　　　　2、陕西省专业技术人员继续教育证书申领人员名单</w:t>
      </w:r>
      <w:r>
        <w:rPr>
          <w:rFonts w:ascii="宋体" w:hAnsi="宋体" w:eastAsia="宋体" w:cs="宋体"/>
          <w:color w:val="333333"/>
          <w:kern w:val="0"/>
          <w:szCs w:val="21"/>
        </w:rPr>
        <w:br w:type="textWrapping"/>
      </w:r>
      <w:r>
        <w:rPr>
          <w:rFonts w:ascii="宋体" w:hAnsi="宋体" w:eastAsia="宋体" w:cs="宋体"/>
          <w:color w:val="333333"/>
          <w:kern w:val="0"/>
          <w:szCs w:val="21"/>
        </w:rPr>
        <w:t>　　　　　　　　　3、陕西省专业技术人员继续教育证书管理号编码规则</w:t>
      </w:r>
    </w:p>
    <w:p>
      <w:pPr>
        <w:spacing w:line="594" w:lineRule="exact"/>
        <w:rPr>
          <w:rFonts w:ascii="黑体" w:hAnsi="仿宋" w:eastAsia="黑体"/>
          <w:color w:val="000000"/>
          <w:sz w:val="32"/>
          <w:szCs w:val="32"/>
        </w:rPr>
      </w:pPr>
      <w:r>
        <w:rPr>
          <w:rFonts w:hint="eastAsia" w:ascii="黑体" w:hAnsi="仿宋" w:eastAsia="黑体"/>
          <w:color w:val="000000"/>
          <w:sz w:val="32"/>
          <w:szCs w:val="32"/>
        </w:rPr>
        <w:t>附件</w:t>
      </w:r>
      <w:r>
        <w:rPr>
          <w:rFonts w:ascii="黑体" w:hAnsi="仿宋" w:eastAsia="黑体"/>
          <w:color w:val="000000"/>
          <w:sz w:val="32"/>
          <w:szCs w:val="32"/>
        </w:rPr>
        <w:t>1</w:t>
      </w:r>
    </w:p>
    <w:p>
      <w:pPr>
        <w:spacing w:before="312" w:beforeLines="100" w:after="312" w:afterLines="100" w:line="526" w:lineRule="exact"/>
        <w:jc w:val="center"/>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陕西省专业技术人员继续教育证书申领表</w:t>
      </w:r>
    </w:p>
    <w:tbl>
      <w:tblPr>
        <w:tblStyle w:val="3"/>
        <w:tblW w:w="88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06"/>
        <w:gridCol w:w="933"/>
        <w:gridCol w:w="3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5339" w:type="dxa"/>
            <w:gridSpan w:val="2"/>
            <w:tcBorders>
              <w:top w:val="single" w:color="auto" w:sz="12" w:space="0"/>
            </w:tcBorders>
            <w:vAlign w:val="center"/>
          </w:tcPr>
          <w:p>
            <w:pPr>
              <w:spacing w:line="500" w:lineRule="exact"/>
              <w:jc w:val="center"/>
              <w:rPr>
                <w:rFonts w:ascii="黑体" w:hAnsi="仿宋" w:eastAsia="黑体"/>
                <w:color w:val="000000"/>
                <w:sz w:val="30"/>
                <w:szCs w:val="30"/>
              </w:rPr>
            </w:pPr>
            <w:r>
              <w:rPr>
                <w:rFonts w:hint="eastAsia" w:ascii="黑体" w:hAnsi="仿宋" w:eastAsia="黑体"/>
                <w:color w:val="000000"/>
                <w:sz w:val="30"/>
                <w:szCs w:val="30"/>
              </w:rPr>
              <w:t>申领单位</w:t>
            </w:r>
          </w:p>
        </w:tc>
        <w:tc>
          <w:tcPr>
            <w:tcW w:w="3506" w:type="dxa"/>
            <w:tcBorders>
              <w:top w:val="single" w:color="auto" w:sz="12" w:space="0"/>
            </w:tcBorders>
            <w:vAlign w:val="center"/>
          </w:tcPr>
          <w:p>
            <w:pPr>
              <w:spacing w:line="500" w:lineRule="exact"/>
              <w:jc w:val="center"/>
              <w:rPr>
                <w:rFonts w:ascii="黑体" w:hAnsi="仿宋" w:eastAsia="黑体"/>
                <w:color w:val="000000"/>
                <w:sz w:val="30"/>
                <w:szCs w:val="30"/>
              </w:rPr>
            </w:pPr>
            <w:r>
              <w:rPr>
                <w:rFonts w:hint="eastAsia" w:ascii="黑体" w:hAnsi="仿宋" w:eastAsia="黑体"/>
                <w:color w:val="000000"/>
                <w:sz w:val="30"/>
                <w:szCs w:val="30"/>
              </w:rPr>
              <w:t>申领本数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4" w:hRule="atLeast"/>
          <w:jc w:val="center"/>
        </w:trPr>
        <w:tc>
          <w:tcPr>
            <w:tcW w:w="5339" w:type="dxa"/>
            <w:gridSpan w:val="2"/>
          </w:tcPr>
          <w:p>
            <w:pPr>
              <w:spacing w:line="500" w:lineRule="exact"/>
              <w:jc w:val="center"/>
              <w:rPr>
                <w:rFonts w:ascii="仿宋" w:hAnsi="仿宋" w:eastAsia="仿宋"/>
                <w:b/>
                <w:color w:val="000000"/>
                <w:sz w:val="30"/>
                <w:szCs w:val="30"/>
              </w:rPr>
            </w:pPr>
          </w:p>
        </w:tc>
        <w:tc>
          <w:tcPr>
            <w:tcW w:w="3506" w:type="dxa"/>
          </w:tcPr>
          <w:p>
            <w:pPr>
              <w:spacing w:line="500" w:lineRule="exact"/>
              <w:jc w:val="center"/>
              <w:rPr>
                <w:rFonts w:ascii="仿宋" w:hAnsi="仿宋" w:eastAsia="仿宋"/>
                <w:b/>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5339" w:type="dxa"/>
            <w:gridSpan w:val="2"/>
          </w:tcPr>
          <w:p>
            <w:pPr>
              <w:spacing w:line="500" w:lineRule="exact"/>
              <w:jc w:val="center"/>
              <w:rPr>
                <w:rFonts w:ascii="仿宋" w:hAnsi="仿宋" w:eastAsia="仿宋"/>
                <w:b/>
                <w:color w:val="000000"/>
                <w:sz w:val="30"/>
                <w:szCs w:val="30"/>
              </w:rPr>
            </w:pPr>
          </w:p>
        </w:tc>
        <w:tc>
          <w:tcPr>
            <w:tcW w:w="3506" w:type="dxa"/>
          </w:tcPr>
          <w:p>
            <w:pPr>
              <w:spacing w:line="500" w:lineRule="exact"/>
              <w:jc w:val="center"/>
              <w:rPr>
                <w:rFonts w:ascii="仿宋" w:hAnsi="仿宋" w:eastAsia="仿宋"/>
                <w:b/>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4" w:hRule="atLeast"/>
          <w:jc w:val="center"/>
        </w:trPr>
        <w:tc>
          <w:tcPr>
            <w:tcW w:w="5339" w:type="dxa"/>
            <w:gridSpan w:val="2"/>
          </w:tcPr>
          <w:p>
            <w:pPr>
              <w:spacing w:line="500" w:lineRule="exact"/>
              <w:jc w:val="center"/>
              <w:rPr>
                <w:rFonts w:ascii="仿宋" w:hAnsi="仿宋" w:eastAsia="仿宋"/>
                <w:b/>
                <w:color w:val="000000"/>
                <w:sz w:val="30"/>
                <w:szCs w:val="30"/>
              </w:rPr>
            </w:pPr>
          </w:p>
        </w:tc>
        <w:tc>
          <w:tcPr>
            <w:tcW w:w="3506" w:type="dxa"/>
          </w:tcPr>
          <w:p>
            <w:pPr>
              <w:spacing w:line="500" w:lineRule="exact"/>
              <w:jc w:val="center"/>
              <w:rPr>
                <w:rFonts w:ascii="仿宋" w:hAnsi="仿宋" w:eastAsia="仿宋"/>
                <w:b/>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48" w:hRule="atLeast"/>
          <w:jc w:val="center"/>
        </w:trPr>
        <w:tc>
          <w:tcPr>
            <w:tcW w:w="4406" w:type="dxa"/>
            <w:tcBorders>
              <w:bottom w:val="single" w:color="auto" w:sz="12" w:space="0"/>
            </w:tcBorders>
          </w:tcPr>
          <w:p>
            <w:pPr>
              <w:spacing w:line="500" w:lineRule="exact"/>
              <w:rPr>
                <w:rFonts w:ascii="仿宋" w:hAnsi="仿宋" w:eastAsia="仿宋"/>
                <w:b/>
                <w:color w:val="000000"/>
                <w:sz w:val="30"/>
                <w:szCs w:val="30"/>
              </w:rPr>
            </w:pPr>
            <w:r>
              <w:rPr>
                <w:rFonts w:hint="eastAsia" w:ascii="仿宋" w:hAnsi="仿宋" w:eastAsia="仿宋"/>
                <w:b/>
                <w:color w:val="000000"/>
                <w:sz w:val="30"/>
                <w:szCs w:val="30"/>
              </w:rPr>
              <w:t>申领单位负责人：</w:t>
            </w:r>
            <w:r>
              <w:rPr>
                <w:rFonts w:ascii="仿宋" w:hAnsi="仿宋" w:eastAsia="仿宋"/>
                <w:b/>
                <w:color w:val="000000"/>
                <w:sz w:val="30"/>
                <w:szCs w:val="30"/>
              </w:rPr>
              <w:t xml:space="preserve">    </w:t>
            </w:r>
          </w:p>
          <w:p>
            <w:pPr>
              <w:spacing w:line="500" w:lineRule="exact"/>
              <w:rPr>
                <w:rFonts w:ascii="仿宋" w:hAnsi="仿宋" w:eastAsia="仿宋"/>
                <w:b/>
                <w:color w:val="000000"/>
                <w:sz w:val="30"/>
                <w:szCs w:val="30"/>
              </w:rPr>
            </w:pPr>
          </w:p>
          <w:p>
            <w:pPr>
              <w:spacing w:line="500" w:lineRule="exact"/>
              <w:rPr>
                <w:rFonts w:ascii="仿宋" w:hAnsi="仿宋" w:eastAsia="仿宋"/>
                <w:b/>
                <w:color w:val="000000"/>
                <w:sz w:val="30"/>
                <w:szCs w:val="30"/>
              </w:rPr>
            </w:pPr>
            <w:r>
              <w:rPr>
                <w:rFonts w:ascii="仿宋" w:hAnsi="仿宋" w:eastAsia="仿宋"/>
                <w:b/>
                <w:color w:val="000000"/>
                <w:sz w:val="30"/>
                <w:szCs w:val="30"/>
              </w:rPr>
              <w:t xml:space="preserve">                    </w:t>
            </w:r>
          </w:p>
          <w:p>
            <w:pPr>
              <w:spacing w:line="500" w:lineRule="exact"/>
              <w:ind w:left="1495" w:leftChars="712" w:firstLine="2250" w:firstLineChars="747"/>
              <w:rPr>
                <w:rFonts w:ascii="仿宋" w:hAnsi="仿宋" w:eastAsia="仿宋"/>
                <w:b/>
                <w:color w:val="000000"/>
                <w:sz w:val="30"/>
                <w:szCs w:val="30"/>
              </w:rPr>
            </w:pPr>
          </w:p>
          <w:p>
            <w:pPr>
              <w:spacing w:line="500" w:lineRule="exact"/>
              <w:ind w:left="1495" w:leftChars="712" w:firstLine="2250" w:firstLineChars="747"/>
              <w:rPr>
                <w:rFonts w:ascii="仿宋" w:hAnsi="仿宋" w:eastAsia="仿宋"/>
                <w:b/>
                <w:color w:val="000000"/>
                <w:sz w:val="30"/>
                <w:szCs w:val="30"/>
              </w:rPr>
            </w:pPr>
          </w:p>
          <w:p>
            <w:pPr>
              <w:spacing w:before="468" w:beforeLines="150" w:line="500" w:lineRule="exact"/>
              <w:ind w:left="1495" w:leftChars="712" w:firstLine="2250" w:firstLineChars="747"/>
              <w:rPr>
                <w:rFonts w:ascii="仿宋" w:hAnsi="仿宋" w:eastAsia="仿宋"/>
                <w:b/>
                <w:color w:val="000000"/>
                <w:sz w:val="30"/>
                <w:szCs w:val="30"/>
              </w:rPr>
            </w:pPr>
          </w:p>
          <w:p>
            <w:pPr>
              <w:spacing w:before="468" w:beforeLines="150" w:line="500" w:lineRule="exact"/>
              <w:ind w:left="1495" w:leftChars="712" w:firstLine="2250" w:firstLineChars="747"/>
              <w:rPr>
                <w:rFonts w:ascii="仿宋" w:hAnsi="仿宋" w:eastAsia="仿宋"/>
                <w:b/>
                <w:color w:val="000000"/>
                <w:sz w:val="30"/>
                <w:szCs w:val="30"/>
              </w:rPr>
            </w:pPr>
          </w:p>
          <w:p>
            <w:pPr>
              <w:spacing w:line="500" w:lineRule="exact"/>
              <w:ind w:left="1495" w:leftChars="712" w:firstLine="2250" w:firstLineChars="747"/>
              <w:rPr>
                <w:rFonts w:ascii="仿宋" w:hAnsi="仿宋" w:eastAsia="仿宋"/>
                <w:b/>
                <w:color w:val="000000"/>
                <w:sz w:val="30"/>
                <w:szCs w:val="30"/>
              </w:rPr>
            </w:pPr>
            <w:r>
              <w:rPr>
                <w:rFonts w:ascii="仿宋" w:hAnsi="仿宋" w:eastAsia="仿宋"/>
                <w:b/>
                <w:color w:val="000000"/>
                <w:sz w:val="30"/>
                <w:szCs w:val="30"/>
              </w:rPr>
              <w:t xml:space="preserve"> </w:t>
            </w:r>
            <w:r>
              <w:rPr>
                <w:rFonts w:hint="eastAsia" w:ascii="仿宋" w:hAnsi="仿宋" w:eastAsia="仿宋"/>
                <w:b/>
                <w:color w:val="000000"/>
                <w:sz w:val="30"/>
                <w:szCs w:val="30"/>
              </w:rPr>
              <w:t>单位（公章）：</w:t>
            </w:r>
          </w:p>
          <w:p>
            <w:pPr>
              <w:spacing w:line="400" w:lineRule="exact"/>
              <w:ind w:left="2096" w:hanging="2096" w:hangingChars="696"/>
              <w:rPr>
                <w:rFonts w:ascii="仿宋" w:hAnsi="仿宋" w:eastAsia="仿宋"/>
                <w:b/>
                <w:color w:val="000000"/>
                <w:sz w:val="30"/>
                <w:szCs w:val="30"/>
              </w:rPr>
            </w:pPr>
            <w:r>
              <w:rPr>
                <w:rFonts w:ascii="仿宋" w:hAnsi="仿宋" w:eastAsia="仿宋"/>
                <w:b/>
                <w:color w:val="000000"/>
                <w:sz w:val="30"/>
                <w:szCs w:val="30"/>
              </w:rPr>
              <w:t xml:space="preserve">                          </w:t>
            </w:r>
            <w:r>
              <w:rPr>
                <w:rFonts w:hint="eastAsia" w:ascii="仿宋" w:hAnsi="仿宋" w:eastAsia="仿宋"/>
                <w:b/>
                <w:color w:val="000000"/>
                <w:sz w:val="30"/>
                <w:szCs w:val="30"/>
              </w:rPr>
              <w:t>年</w:t>
            </w:r>
            <w:r>
              <w:rPr>
                <w:rFonts w:ascii="仿宋" w:hAnsi="仿宋" w:eastAsia="仿宋"/>
                <w:b/>
                <w:color w:val="000000"/>
                <w:sz w:val="30"/>
                <w:szCs w:val="30"/>
              </w:rPr>
              <w:t xml:space="preserve">   </w:t>
            </w:r>
            <w:r>
              <w:rPr>
                <w:rFonts w:hint="eastAsia" w:ascii="仿宋" w:hAnsi="仿宋" w:eastAsia="仿宋"/>
                <w:b/>
                <w:color w:val="000000"/>
                <w:sz w:val="30"/>
                <w:szCs w:val="30"/>
              </w:rPr>
              <w:t>月</w:t>
            </w:r>
            <w:r>
              <w:rPr>
                <w:rFonts w:ascii="仿宋" w:hAnsi="仿宋" w:eastAsia="仿宋"/>
                <w:b/>
                <w:color w:val="000000"/>
                <w:sz w:val="30"/>
                <w:szCs w:val="30"/>
              </w:rPr>
              <w:t xml:space="preserve">   </w:t>
            </w:r>
            <w:r>
              <w:rPr>
                <w:rFonts w:hint="eastAsia" w:ascii="仿宋" w:hAnsi="仿宋" w:eastAsia="仿宋"/>
                <w:b/>
                <w:color w:val="000000"/>
                <w:sz w:val="30"/>
                <w:szCs w:val="30"/>
              </w:rPr>
              <w:t>日</w:t>
            </w:r>
          </w:p>
        </w:tc>
        <w:tc>
          <w:tcPr>
            <w:tcW w:w="4439" w:type="dxa"/>
            <w:gridSpan w:val="2"/>
            <w:tcBorders>
              <w:bottom w:val="single" w:color="auto" w:sz="12" w:space="0"/>
            </w:tcBorders>
          </w:tcPr>
          <w:p>
            <w:pPr>
              <w:widowControl/>
              <w:jc w:val="left"/>
              <w:rPr>
                <w:rFonts w:ascii="仿宋" w:hAnsi="仿宋" w:eastAsia="仿宋"/>
                <w:b/>
                <w:color w:val="000000"/>
                <w:sz w:val="30"/>
                <w:szCs w:val="30"/>
              </w:rPr>
            </w:pPr>
            <w:r>
              <w:rPr>
                <w:rFonts w:hint="eastAsia" w:ascii="仿宋" w:hAnsi="仿宋" w:eastAsia="仿宋"/>
                <w:b/>
                <w:color w:val="000000"/>
                <w:sz w:val="30"/>
                <w:szCs w:val="30"/>
              </w:rPr>
              <w:t>专业技术人员管理处意见：</w:t>
            </w:r>
          </w:p>
          <w:p>
            <w:pPr>
              <w:widowControl/>
              <w:jc w:val="left"/>
              <w:rPr>
                <w:rFonts w:ascii="仿宋" w:hAnsi="仿宋" w:eastAsia="仿宋"/>
                <w:b/>
                <w:color w:val="000000"/>
                <w:sz w:val="30"/>
                <w:szCs w:val="30"/>
              </w:rPr>
            </w:pPr>
          </w:p>
          <w:p>
            <w:pPr>
              <w:widowControl/>
              <w:jc w:val="left"/>
              <w:rPr>
                <w:rFonts w:ascii="仿宋" w:hAnsi="仿宋" w:eastAsia="仿宋"/>
                <w:b/>
                <w:color w:val="000000"/>
                <w:sz w:val="30"/>
                <w:szCs w:val="30"/>
              </w:rPr>
            </w:pPr>
          </w:p>
          <w:p>
            <w:pPr>
              <w:widowControl/>
              <w:jc w:val="left"/>
              <w:rPr>
                <w:rFonts w:ascii="仿宋" w:hAnsi="仿宋" w:eastAsia="仿宋"/>
                <w:b/>
                <w:color w:val="000000"/>
                <w:sz w:val="30"/>
                <w:szCs w:val="30"/>
              </w:rPr>
            </w:pPr>
          </w:p>
          <w:p>
            <w:pPr>
              <w:spacing w:line="500" w:lineRule="exact"/>
              <w:rPr>
                <w:rFonts w:ascii="仿宋" w:hAnsi="仿宋" w:eastAsia="仿宋"/>
                <w:b/>
                <w:color w:val="000000"/>
                <w:sz w:val="30"/>
                <w:szCs w:val="30"/>
              </w:rPr>
            </w:pPr>
          </w:p>
        </w:tc>
      </w:tr>
    </w:tbl>
    <w:p>
      <w:pPr>
        <w:spacing w:line="594" w:lineRule="exact"/>
        <w:rPr>
          <w:rFonts w:ascii="方正楷体简体" w:hAnsi="仿宋" w:eastAsia="方正楷体简体"/>
          <w:color w:val="000000"/>
          <w:sz w:val="32"/>
          <w:szCs w:val="32"/>
        </w:rPr>
      </w:pPr>
      <w:r>
        <w:rPr>
          <w:rFonts w:hint="eastAsia" w:ascii="方正楷体简体" w:hAnsi="仿宋" w:eastAsia="方正楷体简体"/>
          <w:color w:val="000000"/>
          <w:sz w:val="32"/>
          <w:szCs w:val="32"/>
        </w:rPr>
        <w:t>经办人：</w:t>
      </w:r>
      <w:r>
        <w:rPr>
          <w:rFonts w:ascii="方正楷体简体" w:hAnsi="仿宋" w:eastAsia="方正楷体简体"/>
          <w:color w:val="000000"/>
          <w:sz w:val="32"/>
          <w:szCs w:val="32"/>
        </w:rPr>
        <w:t xml:space="preserve">                      </w:t>
      </w:r>
      <w:r>
        <w:rPr>
          <w:rFonts w:hint="eastAsia" w:ascii="方正楷体简体" w:hAnsi="仿宋" w:eastAsia="方正楷体简体"/>
          <w:color w:val="000000"/>
          <w:sz w:val="32"/>
          <w:szCs w:val="32"/>
        </w:rPr>
        <w:t>联系电话：</w:t>
      </w:r>
      <w:r>
        <w:rPr>
          <w:rFonts w:ascii="方正楷体简体" w:hAnsi="仿宋" w:eastAsia="方正楷体简体"/>
          <w:color w:val="000000"/>
          <w:sz w:val="32"/>
          <w:szCs w:val="32"/>
        </w:rPr>
        <w:t xml:space="preserve"> </w:t>
      </w:r>
    </w:p>
    <w:p>
      <w:pPr>
        <w:spacing w:line="594" w:lineRule="exact"/>
        <w:rPr>
          <w:rFonts w:ascii="仿宋" w:hAnsi="仿宋" w:eastAsia="仿宋"/>
          <w:color w:val="000000"/>
          <w:sz w:val="32"/>
          <w:szCs w:val="32"/>
        </w:rPr>
      </w:pPr>
      <w:r>
        <w:rPr>
          <w:rFonts w:hint="eastAsia" w:ascii="黑体" w:hAnsi="仿宋" w:eastAsia="黑体"/>
          <w:color w:val="000000"/>
          <w:sz w:val="32"/>
          <w:szCs w:val="32"/>
        </w:rPr>
        <w:t>附件</w:t>
      </w:r>
      <w:r>
        <w:rPr>
          <w:rFonts w:ascii="黑体" w:hAnsi="仿宋" w:eastAsia="黑体"/>
          <w:color w:val="000000"/>
          <w:sz w:val="32"/>
          <w:szCs w:val="32"/>
        </w:rPr>
        <w:t>2</w:t>
      </w:r>
    </w:p>
    <w:p>
      <w:pPr>
        <w:spacing w:before="312" w:beforeLines="100" w:after="312" w:afterLines="100" w:line="526" w:lineRule="exact"/>
        <w:jc w:val="center"/>
        <w:rPr>
          <w:rFonts w:ascii="仿宋" w:hAnsi="仿宋" w:eastAsia="仿宋"/>
          <w:color w:val="000000"/>
          <w:w w:val="95"/>
          <w:sz w:val="32"/>
          <w:szCs w:val="32"/>
        </w:rPr>
      </w:pPr>
      <w:r>
        <w:rPr>
          <w:rFonts w:hint="eastAsia" w:ascii="方正小标宋简体" w:hAnsi="仿宋" w:eastAsia="方正小标宋简体"/>
          <w:color w:val="000000"/>
          <w:w w:val="95"/>
          <w:sz w:val="44"/>
          <w:szCs w:val="44"/>
        </w:rPr>
        <w:t>陕西省专业技术人员继续教育证书申领人员名单</w:t>
      </w:r>
    </w:p>
    <w:p>
      <w:pPr>
        <w:spacing w:after="156" w:afterLines="50" w:line="540" w:lineRule="exact"/>
        <w:rPr>
          <w:rFonts w:ascii="方正楷体简体" w:hAnsi="仿宋" w:eastAsia="方正楷体简体"/>
          <w:color w:val="000000"/>
          <w:sz w:val="32"/>
          <w:szCs w:val="32"/>
        </w:rPr>
      </w:pPr>
      <w:r>
        <w:rPr>
          <w:rFonts w:hint="eastAsia" w:ascii="方正楷体简体" w:hAnsi="仿宋" w:eastAsia="方正楷体简体"/>
          <w:color w:val="000000"/>
          <w:sz w:val="32"/>
          <w:szCs w:val="32"/>
        </w:rPr>
        <w:t>领证单位（盖章）：</w:t>
      </w:r>
      <w:r>
        <w:rPr>
          <w:rFonts w:ascii="方正楷体简体" w:hAnsi="仿宋" w:eastAsia="方正楷体简体"/>
          <w:color w:val="000000"/>
          <w:sz w:val="32"/>
          <w:szCs w:val="32"/>
        </w:rPr>
        <w:t xml:space="preserve">                           </w:t>
      </w:r>
    </w:p>
    <w:tbl>
      <w:tblPr>
        <w:tblStyle w:val="3"/>
        <w:tblW w:w="88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9"/>
        <w:gridCol w:w="1070"/>
        <w:gridCol w:w="1212"/>
        <w:gridCol w:w="1095"/>
        <w:gridCol w:w="1095"/>
        <w:gridCol w:w="1095"/>
        <w:gridCol w:w="1314"/>
        <w:gridCol w:w="10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1" w:hRule="atLeast"/>
          <w:jc w:val="center"/>
        </w:trPr>
        <w:tc>
          <w:tcPr>
            <w:tcW w:w="869" w:type="dxa"/>
            <w:tcBorders>
              <w:top w:val="single" w:color="auto" w:sz="12" w:space="0"/>
            </w:tcBorders>
            <w:vAlign w:val="center"/>
          </w:tcPr>
          <w:p>
            <w:pPr>
              <w:widowControl/>
              <w:spacing w:line="360" w:lineRule="exact"/>
              <w:jc w:val="center"/>
              <w:rPr>
                <w:rFonts w:ascii="黑体" w:hAnsi="仿宋" w:eastAsia="黑体" w:cs="宋体"/>
                <w:color w:val="000000"/>
                <w:kern w:val="0"/>
                <w:sz w:val="30"/>
                <w:szCs w:val="30"/>
              </w:rPr>
            </w:pPr>
            <w:r>
              <w:rPr>
                <w:rFonts w:hint="eastAsia" w:ascii="黑体" w:hAnsi="仿宋" w:eastAsia="黑体" w:cs="宋体"/>
                <w:color w:val="000000"/>
                <w:kern w:val="0"/>
                <w:sz w:val="30"/>
                <w:szCs w:val="30"/>
              </w:rPr>
              <w:t>序号</w:t>
            </w:r>
          </w:p>
        </w:tc>
        <w:tc>
          <w:tcPr>
            <w:tcW w:w="1070" w:type="dxa"/>
            <w:tcBorders>
              <w:top w:val="single" w:color="auto" w:sz="12" w:space="0"/>
            </w:tcBorders>
            <w:vAlign w:val="center"/>
          </w:tcPr>
          <w:p>
            <w:pPr>
              <w:widowControl/>
              <w:spacing w:line="360" w:lineRule="exact"/>
              <w:jc w:val="center"/>
              <w:rPr>
                <w:rFonts w:ascii="黑体" w:hAnsi="仿宋" w:eastAsia="黑体" w:cs="宋体"/>
                <w:color w:val="000000"/>
                <w:kern w:val="0"/>
                <w:sz w:val="30"/>
                <w:szCs w:val="30"/>
              </w:rPr>
            </w:pPr>
            <w:r>
              <w:rPr>
                <w:rFonts w:hint="eastAsia" w:ascii="黑体" w:hAnsi="仿宋" w:eastAsia="黑体" w:cs="宋体"/>
                <w:color w:val="000000"/>
                <w:kern w:val="0"/>
                <w:sz w:val="30"/>
                <w:szCs w:val="30"/>
              </w:rPr>
              <w:t>姓名</w:t>
            </w:r>
          </w:p>
        </w:tc>
        <w:tc>
          <w:tcPr>
            <w:tcW w:w="1212" w:type="dxa"/>
            <w:tcBorders>
              <w:top w:val="single" w:color="auto" w:sz="12" w:space="0"/>
            </w:tcBorders>
            <w:vAlign w:val="center"/>
          </w:tcPr>
          <w:p>
            <w:pPr>
              <w:widowControl/>
              <w:spacing w:line="360" w:lineRule="exact"/>
              <w:jc w:val="center"/>
              <w:rPr>
                <w:rFonts w:ascii="黑体" w:hAnsi="仿宋" w:eastAsia="黑体" w:cs="宋体"/>
                <w:color w:val="000000"/>
                <w:kern w:val="0"/>
                <w:sz w:val="30"/>
                <w:szCs w:val="30"/>
              </w:rPr>
            </w:pPr>
            <w:r>
              <w:rPr>
                <w:rFonts w:hint="eastAsia" w:ascii="黑体" w:hAnsi="仿宋" w:eastAsia="黑体" w:cs="宋体"/>
                <w:color w:val="000000"/>
                <w:kern w:val="0"/>
                <w:sz w:val="30"/>
                <w:szCs w:val="30"/>
              </w:rPr>
              <w:t>职称</w:t>
            </w:r>
          </w:p>
          <w:p>
            <w:pPr>
              <w:widowControl/>
              <w:spacing w:line="360" w:lineRule="exact"/>
              <w:jc w:val="center"/>
              <w:rPr>
                <w:rFonts w:ascii="黑体" w:hAnsi="仿宋" w:eastAsia="黑体" w:cs="宋体"/>
                <w:color w:val="000000"/>
                <w:kern w:val="0"/>
                <w:sz w:val="30"/>
                <w:szCs w:val="30"/>
              </w:rPr>
            </w:pPr>
            <w:r>
              <w:rPr>
                <w:rFonts w:hint="eastAsia" w:ascii="黑体" w:hAnsi="仿宋" w:eastAsia="黑体" w:cs="宋体"/>
                <w:color w:val="000000"/>
                <w:kern w:val="0"/>
                <w:sz w:val="30"/>
                <w:szCs w:val="30"/>
              </w:rPr>
              <w:t>级别</w:t>
            </w:r>
          </w:p>
        </w:tc>
        <w:tc>
          <w:tcPr>
            <w:tcW w:w="1095" w:type="dxa"/>
            <w:tcBorders>
              <w:top w:val="single" w:color="auto" w:sz="12" w:space="0"/>
            </w:tcBorders>
            <w:vAlign w:val="center"/>
          </w:tcPr>
          <w:p>
            <w:pPr>
              <w:widowControl/>
              <w:spacing w:line="360" w:lineRule="exact"/>
              <w:jc w:val="center"/>
              <w:rPr>
                <w:rFonts w:ascii="黑体" w:hAnsi="仿宋" w:eastAsia="黑体" w:cs="宋体"/>
                <w:color w:val="000000"/>
                <w:kern w:val="0"/>
                <w:sz w:val="30"/>
                <w:szCs w:val="30"/>
              </w:rPr>
            </w:pPr>
            <w:r>
              <w:rPr>
                <w:rFonts w:hint="eastAsia" w:ascii="黑体" w:hAnsi="仿宋" w:eastAsia="黑体" w:cs="宋体"/>
                <w:color w:val="000000"/>
                <w:kern w:val="0"/>
                <w:sz w:val="30"/>
                <w:szCs w:val="30"/>
              </w:rPr>
              <w:t>单位</w:t>
            </w:r>
          </w:p>
        </w:tc>
        <w:tc>
          <w:tcPr>
            <w:tcW w:w="1095" w:type="dxa"/>
            <w:tcBorders>
              <w:top w:val="single" w:color="auto" w:sz="12" w:space="0"/>
            </w:tcBorders>
            <w:vAlign w:val="center"/>
          </w:tcPr>
          <w:p>
            <w:pPr>
              <w:widowControl/>
              <w:spacing w:line="360" w:lineRule="exact"/>
              <w:jc w:val="center"/>
              <w:rPr>
                <w:rFonts w:ascii="黑体" w:hAnsi="仿宋" w:eastAsia="黑体" w:cs="宋体"/>
                <w:color w:val="000000"/>
                <w:kern w:val="0"/>
                <w:sz w:val="30"/>
                <w:szCs w:val="30"/>
              </w:rPr>
            </w:pPr>
            <w:r>
              <w:rPr>
                <w:rFonts w:hint="eastAsia" w:ascii="黑体" w:hAnsi="仿宋" w:eastAsia="黑体" w:cs="宋体"/>
                <w:color w:val="000000"/>
                <w:kern w:val="0"/>
                <w:sz w:val="30"/>
                <w:szCs w:val="30"/>
              </w:rPr>
              <w:t>序号</w:t>
            </w:r>
          </w:p>
        </w:tc>
        <w:tc>
          <w:tcPr>
            <w:tcW w:w="1095" w:type="dxa"/>
            <w:tcBorders>
              <w:top w:val="single" w:color="auto" w:sz="12" w:space="0"/>
            </w:tcBorders>
            <w:vAlign w:val="center"/>
          </w:tcPr>
          <w:p>
            <w:pPr>
              <w:widowControl/>
              <w:spacing w:line="360" w:lineRule="exact"/>
              <w:jc w:val="center"/>
              <w:rPr>
                <w:rFonts w:ascii="黑体" w:hAnsi="仿宋" w:eastAsia="黑体" w:cs="宋体"/>
                <w:color w:val="000000"/>
                <w:kern w:val="0"/>
                <w:sz w:val="30"/>
                <w:szCs w:val="30"/>
              </w:rPr>
            </w:pPr>
            <w:r>
              <w:rPr>
                <w:rFonts w:hint="eastAsia" w:ascii="黑体" w:hAnsi="仿宋" w:eastAsia="黑体" w:cs="宋体"/>
                <w:color w:val="000000"/>
                <w:kern w:val="0"/>
                <w:sz w:val="30"/>
                <w:szCs w:val="30"/>
              </w:rPr>
              <w:t>姓名</w:t>
            </w:r>
          </w:p>
        </w:tc>
        <w:tc>
          <w:tcPr>
            <w:tcW w:w="1314" w:type="dxa"/>
            <w:tcBorders>
              <w:top w:val="single" w:color="auto" w:sz="12" w:space="0"/>
            </w:tcBorders>
            <w:vAlign w:val="center"/>
          </w:tcPr>
          <w:p>
            <w:pPr>
              <w:widowControl/>
              <w:spacing w:line="360" w:lineRule="exact"/>
              <w:jc w:val="center"/>
              <w:rPr>
                <w:rFonts w:ascii="黑体" w:hAnsi="仿宋" w:eastAsia="黑体" w:cs="宋体"/>
                <w:color w:val="000000"/>
                <w:kern w:val="0"/>
                <w:sz w:val="30"/>
                <w:szCs w:val="30"/>
              </w:rPr>
            </w:pPr>
            <w:r>
              <w:rPr>
                <w:rFonts w:hint="eastAsia" w:ascii="黑体" w:hAnsi="仿宋" w:eastAsia="黑体" w:cs="宋体"/>
                <w:color w:val="000000"/>
                <w:kern w:val="0"/>
                <w:sz w:val="30"/>
                <w:szCs w:val="30"/>
              </w:rPr>
              <w:t>职称</w:t>
            </w:r>
          </w:p>
          <w:p>
            <w:pPr>
              <w:widowControl/>
              <w:spacing w:line="360" w:lineRule="exact"/>
              <w:jc w:val="center"/>
              <w:rPr>
                <w:rFonts w:ascii="黑体" w:hAnsi="仿宋" w:eastAsia="黑体" w:cs="宋体"/>
                <w:color w:val="000000"/>
                <w:kern w:val="0"/>
                <w:sz w:val="30"/>
                <w:szCs w:val="30"/>
              </w:rPr>
            </w:pPr>
            <w:r>
              <w:rPr>
                <w:rFonts w:hint="eastAsia" w:ascii="黑体" w:hAnsi="仿宋" w:eastAsia="黑体" w:cs="宋体"/>
                <w:color w:val="000000"/>
                <w:kern w:val="0"/>
                <w:sz w:val="30"/>
                <w:szCs w:val="30"/>
              </w:rPr>
              <w:t>级别</w:t>
            </w:r>
          </w:p>
        </w:tc>
        <w:tc>
          <w:tcPr>
            <w:tcW w:w="1095" w:type="dxa"/>
            <w:tcBorders>
              <w:top w:val="single" w:color="auto" w:sz="12" w:space="0"/>
            </w:tcBorders>
            <w:vAlign w:val="center"/>
          </w:tcPr>
          <w:p>
            <w:pPr>
              <w:widowControl/>
              <w:spacing w:line="360" w:lineRule="exact"/>
              <w:jc w:val="center"/>
              <w:rPr>
                <w:rFonts w:ascii="黑体" w:hAnsi="仿宋" w:eastAsia="黑体" w:cs="宋体"/>
                <w:color w:val="000000"/>
                <w:kern w:val="0"/>
                <w:sz w:val="30"/>
                <w:szCs w:val="30"/>
              </w:rPr>
            </w:pPr>
            <w:r>
              <w:rPr>
                <w:rFonts w:hint="eastAsia" w:ascii="黑体" w:hAnsi="仿宋" w:eastAsia="黑体" w:cs="宋体"/>
                <w:color w:val="000000"/>
                <w:kern w:val="0"/>
                <w:sz w:val="30"/>
                <w:szCs w:val="30"/>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869"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70"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212"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314"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c>
          <w:tcPr>
            <w:tcW w:w="1095" w:type="dxa"/>
            <w:vAlign w:val="bottom"/>
          </w:tcPr>
          <w:p>
            <w:pPr>
              <w:widowControl/>
              <w:spacing w:line="320" w:lineRule="exact"/>
              <w:jc w:val="left"/>
              <w:rPr>
                <w:rFonts w:ascii="黑体" w:hAnsi="仿宋" w:eastAsia="黑体" w:cs="宋体"/>
                <w:color w:val="000000"/>
                <w:kern w:val="0"/>
                <w:sz w:val="30"/>
                <w:szCs w:val="30"/>
              </w:rPr>
            </w:pPr>
            <w:r>
              <w:rPr>
                <w:rFonts w:hint="eastAsia" w:ascii="黑体" w:hAnsi="仿宋" w:eastAsia="黑体" w:cs="宋体"/>
                <w:color w:val="000000"/>
                <w:kern w:val="0"/>
                <w:sz w:val="30"/>
                <w:szCs w:val="30"/>
              </w:rPr>
              <w:t>　</w:t>
            </w:r>
          </w:p>
        </w:tc>
      </w:tr>
    </w:tbl>
    <w:p>
      <w:pPr>
        <w:spacing w:line="594" w:lineRule="exact"/>
        <w:rPr>
          <w:rFonts w:ascii="仿宋" w:hAnsi="仿宋" w:eastAsia="仿宋"/>
          <w:color w:val="000000"/>
          <w:sz w:val="32"/>
          <w:szCs w:val="32"/>
        </w:rPr>
      </w:pPr>
      <w:r>
        <w:rPr>
          <w:rFonts w:hint="eastAsia" w:ascii="黑体" w:hAnsi="仿宋" w:eastAsia="黑体"/>
          <w:color w:val="000000"/>
          <w:sz w:val="32"/>
          <w:szCs w:val="32"/>
        </w:rPr>
        <w:t>附件</w:t>
      </w:r>
      <w:r>
        <w:rPr>
          <w:rFonts w:ascii="黑体" w:hAnsi="仿宋" w:eastAsia="黑体"/>
          <w:color w:val="000000"/>
          <w:sz w:val="32"/>
          <w:szCs w:val="32"/>
        </w:rPr>
        <w:t>3</w:t>
      </w:r>
    </w:p>
    <w:p>
      <w:pPr>
        <w:spacing w:before="312" w:beforeLines="100" w:after="312" w:afterLines="100" w:line="526" w:lineRule="exact"/>
        <w:jc w:val="center"/>
        <w:rPr>
          <w:rFonts w:ascii="仿宋" w:hAnsi="仿宋" w:eastAsia="仿宋"/>
          <w:color w:val="000000"/>
          <w:w w:val="90"/>
          <w:sz w:val="32"/>
          <w:szCs w:val="32"/>
        </w:rPr>
      </w:pPr>
      <w:r>
        <w:rPr>
          <w:rFonts w:hint="eastAsia" w:ascii="方正小标宋简体" w:hAnsi="仿宋" w:eastAsia="方正小标宋简体"/>
          <w:color w:val="000000"/>
          <w:w w:val="90"/>
          <w:sz w:val="44"/>
          <w:szCs w:val="44"/>
        </w:rPr>
        <w:t>陕西省专业技术人员继续教育证书管理号编码规则</w:t>
      </w:r>
    </w:p>
    <w:p>
      <w:pPr>
        <w:widowControl/>
        <w:spacing w:line="594" w:lineRule="exact"/>
        <w:ind w:firstLine="640" w:firstLineChars="200"/>
        <w:jc w:val="left"/>
        <w:rPr>
          <w:rFonts w:ascii="仿宋" w:hAnsi="仿宋" w:eastAsia="仿宋"/>
          <w:color w:val="000000"/>
          <w:sz w:val="32"/>
          <w:szCs w:val="32"/>
        </w:rPr>
      </w:pPr>
      <w:r>
        <w:rPr>
          <w:rFonts w:hint="eastAsia" w:ascii="仿宋" w:hAnsi="仿宋" w:eastAsia="仿宋" w:cs="宋体"/>
          <w:color w:val="000000"/>
          <w:sz w:val="32"/>
          <w:szCs w:val="32"/>
        </w:rPr>
        <w:t>陕西省专业技术人员继续教育证书管理号是专业技术人员参加继续教育的身份识别编码，管理号设置</w:t>
      </w:r>
      <w:r>
        <w:rPr>
          <w:rFonts w:ascii="仿宋" w:hAnsi="仿宋" w:eastAsia="仿宋"/>
          <w:color w:val="000000"/>
          <w:sz w:val="32"/>
          <w:szCs w:val="32"/>
        </w:rPr>
        <w:t>12</w:t>
      </w:r>
      <w:r>
        <w:rPr>
          <w:rFonts w:hint="eastAsia" w:ascii="仿宋" w:hAnsi="仿宋" w:eastAsia="仿宋" w:cs="宋体"/>
          <w:color w:val="000000"/>
          <w:sz w:val="32"/>
          <w:szCs w:val="32"/>
        </w:rPr>
        <w:t>位，由省级行政区划代码（</w:t>
      </w:r>
      <w:r>
        <w:rPr>
          <w:rFonts w:ascii="仿宋" w:hAnsi="仿宋" w:eastAsia="仿宋"/>
          <w:color w:val="000000"/>
          <w:sz w:val="32"/>
          <w:szCs w:val="32"/>
        </w:rPr>
        <w:t>2</w:t>
      </w:r>
      <w:r>
        <w:rPr>
          <w:rFonts w:hint="eastAsia" w:ascii="仿宋" w:hAnsi="仿宋" w:eastAsia="仿宋" w:cs="宋体"/>
          <w:color w:val="000000"/>
          <w:sz w:val="32"/>
          <w:szCs w:val="32"/>
        </w:rPr>
        <w:t>位）、证书发放机构代码（</w:t>
      </w:r>
      <w:r>
        <w:rPr>
          <w:rFonts w:ascii="仿宋" w:hAnsi="仿宋" w:eastAsia="仿宋"/>
          <w:color w:val="000000"/>
          <w:sz w:val="32"/>
          <w:szCs w:val="32"/>
        </w:rPr>
        <w:t>4</w:t>
      </w:r>
      <w:r>
        <w:rPr>
          <w:rFonts w:hint="eastAsia" w:ascii="仿宋" w:hAnsi="仿宋" w:eastAsia="仿宋" w:cs="宋体"/>
          <w:color w:val="000000"/>
          <w:sz w:val="32"/>
          <w:szCs w:val="32"/>
        </w:rPr>
        <w:t>位）和证书序号（</w:t>
      </w:r>
      <w:r>
        <w:rPr>
          <w:rFonts w:ascii="仿宋" w:hAnsi="仿宋" w:eastAsia="仿宋"/>
          <w:color w:val="000000"/>
          <w:sz w:val="32"/>
          <w:szCs w:val="32"/>
        </w:rPr>
        <w:t>6</w:t>
      </w:r>
      <w:r>
        <w:rPr>
          <w:rFonts w:hint="eastAsia" w:ascii="仿宋" w:hAnsi="仿宋" w:eastAsia="仿宋" w:cs="宋体"/>
          <w:color w:val="000000"/>
          <w:sz w:val="32"/>
          <w:szCs w:val="32"/>
        </w:rPr>
        <w:t>位）三段构成，具体格式为：</w:t>
      </w:r>
    </w:p>
    <w:p>
      <w:pPr>
        <w:widowControl/>
        <w:spacing w:line="594"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位</w:t>
      </w:r>
      <w:r>
        <w:rPr>
          <w:rFonts w:ascii="仿宋" w:hAnsi="仿宋" w:eastAsia="仿宋"/>
          <w:color w:val="000000"/>
          <w:sz w:val="32"/>
          <w:szCs w:val="32"/>
        </w:rPr>
        <w:t xml:space="preserve"> </w:t>
      </w:r>
      <w:r>
        <w:rPr>
          <w:rFonts w:hint="eastAsia" w:ascii="仿宋" w:hAnsi="仿宋" w:eastAsia="仿宋"/>
          <w:color w:val="000000"/>
          <w:sz w:val="32"/>
          <w:szCs w:val="32"/>
        </w:rPr>
        <w:t>数：</w:t>
      </w:r>
      <w:r>
        <w:rPr>
          <w:rFonts w:ascii="仿宋" w:hAnsi="仿宋" w:eastAsia="仿宋"/>
          <w:color w:val="000000"/>
          <w:sz w:val="32"/>
          <w:szCs w:val="32"/>
        </w:rPr>
        <w:t xml:space="preserve"> 1  2</w:t>
      </w:r>
      <w:r>
        <w:rPr>
          <w:rFonts w:hint="eastAsia" w:ascii="仿宋" w:hAnsi="仿宋" w:eastAsia="仿宋"/>
          <w:color w:val="000000"/>
          <w:sz w:val="40"/>
          <w:szCs w:val="32"/>
        </w:rPr>
        <w:t>　</w:t>
      </w:r>
      <w:r>
        <w:rPr>
          <w:rFonts w:ascii="仿宋" w:hAnsi="仿宋" w:eastAsia="仿宋"/>
          <w:color w:val="000000"/>
          <w:sz w:val="32"/>
          <w:szCs w:val="32"/>
        </w:rPr>
        <w:t xml:space="preserve"> 3</w:t>
      </w:r>
      <w:r>
        <w:rPr>
          <w:rFonts w:hint="eastAsia" w:ascii="仿宋" w:hAnsi="仿宋" w:eastAsia="仿宋"/>
          <w:color w:val="000000"/>
          <w:sz w:val="32"/>
          <w:szCs w:val="32"/>
        </w:rPr>
        <w:t>　</w:t>
      </w:r>
      <w:r>
        <w:rPr>
          <w:rFonts w:ascii="仿宋" w:hAnsi="仿宋" w:eastAsia="仿宋"/>
          <w:color w:val="000000"/>
          <w:sz w:val="32"/>
          <w:szCs w:val="32"/>
        </w:rPr>
        <w:t>4</w:t>
      </w:r>
      <w:r>
        <w:rPr>
          <w:rFonts w:hint="eastAsia" w:ascii="仿宋" w:hAnsi="仿宋" w:eastAsia="仿宋"/>
          <w:color w:val="000000"/>
          <w:sz w:val="32"/>
          <w:szCs w:val="32"/>
        </w:rPr>
        <w:t>　</w:t>
      </w:r>
      <w:r>
        <w:rPr>
          <w:rFonts w:ascii="仿宋" w:hAnsi="仿宋" w:eastAsia="仿宋"/>
          <w:color w:val="000000"/>
          <w:sz w:val="32"/>
          <w:szCs w:val="32"/>
        </w:rPr>
        <w:t>5</w:t>
      </w:r>
      <w:r>
        <w:rPr>
          <w:rFonts w:hint="eastAsia" w:ascii="仿宋" w:hAnsi="仿宋" w:eastAsia="仿宋"/>
          <w:color w:val="000000"/>
          <w:sz w:val="32"/>
          <w:szCs w:val="32"/>
        </w:rPr>
        <w:t>　</w:t>
      </w:r>
      <w:r>
        <w:rPr>
          <w:rFonts w:ascii="仿宋" w:hAnsi="仿宋" w:eastAsia="仿宋"/>
          <w:color w:val="000000"/>
          <w:sz w:val="32"/>
          <w:szCs w:val="32"/>
        </w:rPr>
        <w:t>6</w:t>
      </w:r>
      <w:r>
        <w:rPr>
          <w:rFonts w:hint="eastAsia" w:ascii="仿宋" w:hAnsi="仿宋" w:eastAsia="仿宋"/>
          <w:color w:val="000000"/>
          <w:sz w:val="36"/>
          <w:szCs w:val="32"/>
        </w:rPr>
        <w:t>　</w:t>
      </w:r>
      <w:r>
        <w:rPr>
          <w:rFonts w:ascii="仿宋" w:hAnsi="仿宋" w:eastAsia="仿宋"/>
          <w:color w:val="000000"/>
          <w:sz w:val="32"/>
          <w:szCs w:val="32"/>
        </w:rPr>
        <w:t xml:space="preserve"> 7</w:t>
      </w:r>
      <w:r>
        <w:rPr>
          <w:rFonts w:hint="eastAsia" w:ascii="仿宋" w:hAnsi="仿宋" w:eastAsia="仿宋"/>
          <w:color w:val="000000"/>
          <w:sz w:val="32"/>
          <w:szCs w:val="32"/>
        </w:rPr>
        <w:t>　</w:t>
      </w:r>
      <w:r>
        <w:rPr>
          <w:rFonts w:ascii="仿宋" w:hAnsi="仿宋" w:eastAsia="仿宋"/>
          <w:color w:val="000000"/>
          <w:sz w:val="32"/>
          <w:szCs w:val="32"/>
        </w:rPr>
        <w:t>8</w:t>
      </w:r>
      <w:r>
        <w:rPr>
          <w:rFonts w:hint="eastAsia" w:ascii="仿宋" w:hAnsi="仿宋" w:eastAsia="仿宋"/>
          <w:color w:val="000000"/>
          <w:spacing w:val="-20"/>
          <w:sz w:val="32"/>
          <w:szCs w:val="32"/>
        </w:rPr>
        <w:t>　</w:t>
      </w:r>
      <w:r>
        <w:rPr>
          <w:rFonts w:ascii="仿宋" w:hAnsi="仿宋" w:eastAsia="仿宋"/>
          <w:color w:val="000000"/>
          <w:spacing w:val="-20"/>
          <w:sz w:val="32"/>
          <w:szCs w:val="32"/>
        </w:rPr>
        <w:t>9  10  11  12</w:t>
      </w:r>
    </w:p>
    <w:p>
      <w:pPr>
        <w:spacing w:line="594" w:lineRule="exact"/>
        <w:ind w:left="1" w:firstLine="1872" w:firstLineChars="585"/>
        <w:rPr>
          <w:rFonts w:ascii="仿宋" w:hAnsi="仿宋" w:eastAsia="仿宋"/>
          <w:color w:val="000000"/>
          <w:sz w:val="32"/>
          <w:szCs w:val="32"/>
        </w:rPr>
      </w:pPr>
      <w:r>
        <w:rPr>
          <w:rFonts w:hint="eastAsia" w:ascii="仿宋" w:hAnsi="仿宋" w:eastAsia="仿宋"/>
          <w:color w:val="000000"/>
          <w:sz w:val="32"/>
          <w:szCs w:val="32"/>
          <w:u w:val="thick"/>
        </w:rPr>
        <w:t>□</w:t>
      </w:r>
      <w:r>
        <w:rPr>
          <w:rFonts w:ascii="仿宋" w:hAnsi="仿宋" w:eastAsia="仿宋"/>
          <w:color w:val="000000"/>
          <w:sz w:val="32"/>
          <w:szCs w:val="32"/>
          <w:u w:val="thick"/>
        </w:rPr>
        <w:t xml:space="preserve"> </w:t>
      </w:r>
      <w:r>
        <w:rPr>
          <w:rFonts w:hint="eastAsia" w:ascii="仿宋" w:hAnsi="仿宋" w:eastAsia="仿宋"/>
          <w:color w:val="000000"/>
          <w:sz w:val="32"/>
          <w:szCs w:val="32"/>
          <w:u w:val="thick"/>
        </w:rPr>
        <w:t>□</w:t>
      </w:r>
      <w:r>
        <w:rPr>
          <w:rFonts w:hint="eastAsia" w:ascii="仿宋" w:hAnsi="仿宋" w:eastAsia="仿宋"/>
          <w:color w:val="000000"/>
          <w:sz w:val="40"/>
          <w:szCs w:val="32"/>
        </w:rPr>
        <w:t>　</w:t>
      </w:r>
      <w:r>
        <w:rPr>
          <w:rFonts w:hint="eastAsia" w:ascii="仿宋" w:hAnsi="仿宋" w:eastAsia="仿宋"/>
          <w:color w:val="000000"/>
          <w:sz w:val="32"/>
          <w:szCs w:val="32"/>
          <w:u w:val="thick"/>
        </w:rPr>
        <w:t>□</w:t>
      </w:r>
      <w:r>
        <w:rPr>
          <w:rFonts w:ascii="仿宋" w:hAnsi="仿宋" w:eastAsia="仿宋"/>
          <w:color w:val="000000"/>
          <w:sz w:val="32"/>
          <w:szCs w:val="32"/>
          <w:u w:val="thick"/>
        </w:rPr>
        <w:t xml:space="preserve"> </w:t>
      </w:r>
      <w:r>
        <w:rPr>
          <w:rFonts w:hint="eastAsia" w:ascii="仿宋" w:hAnsi="仿宋" w:eastAsia="仿宋"/>
          <w:color w:val="000000"/>
          <w:sz w:val="32"/>
          <w:szCs w:val="32"/>
          <w:u w:val="thick"/>
        </w:rPr>
        <w:t>□</w:t>
      </w:r>
      <w:r>
        <w:rPr>
          <w:rFonts w:ascii="仿宋" w:hAnsi="仿宋" w:eastAsia="仿宋"/>
          <w:color w:val="000000"/>
          <w:sz w:val="32"/>
          <w:szCs w:val="32"/>
          <w:u w:val="thick"/>
        </w:rPr>
        <w:t xml:space="preserve"> </w:t>
      </w:r>
      <w:r>
        <w:rPr>
          <w:rFonts w:hint="eastAsia" w:ascii="仿宋" w:hAnsi="仿宋" w:eastAsia="仿宋"/>
          <w:color w:val="000000"/>
          <w:sz w:val="32"/>
          <w:szCs w:val="32"/>
          <w:u w:val="thick"/>
        </w:rPr>
        <w:t>□</w:t>
      </w:r>
      <w:r>
        <w:rPr>
          <w:rFonts w:ascii="仿宋" w:hAnsi="仿宋" w:eastAsia="仿宋"/>
          <w:color w:val="000000"/>
          <w:sz w:val="32"/>
          <w:szCs w:val="32"/>
          <w:u w:val="thick"/>
        </w:rPr>
        <w:t xml:space="preserve"> </w:t>
      </w:r>
      <w:r>
        <w:rPr>
          <w:rFonts w:hint="eastAsia" w:ascii="仿宋" w:hAnsi="仿宋" w:eastAsia="仿宋"/>
          <w:color w:val="000000"/>
          <w:sz w:val="32"/>
          <w:szCs w:val="32"/>
          <w:u w:val="thick"/>
        </w:rPr>
        <w:t>□</w:t>
      </w:r>
      <w:r>
        <w:rPr>
          <w:rFonts w:hint="eastAsia" w:ascii="仿宋" w:hAnsi="仿宋" w:eastAsia="仿宋"/>
          <w:color w:val="000000"/>
          <w:sz w:val="36"/>
          <w:szCs w:val="32"/>
        </w:rPr>
        <w:t>　</w:t>
      </w:r>
      <w:r>
        <w:rPr>
          <w:rFonts w:hint="eastAsia" w:ascii="仿宋" w:hAnsi="仿宋" w:eastAsia="仿宋"/>
          <w:color w:val="000000"/>
          <w:sz w:val="32"/>
          <w:szCs w:val="32"/>
          <w:u w:val="thick"/>
        </w:rPr>
        <w:t>□</w:t>
      </w:r>
      <w:r>
        <w:rPr>
          <w:rFonts w:ascii="仿宋" w:hAnsi="仿宋" w:eastAsia="仿宋"/>
          <w:color w:val="000000"/>
          <w:sz w:val="32"/>
          <w:szCs w:val="32"/>
          <w:u w:val="thick"/>
        </w:rPr>
        <w:t xml:space="preserve"> </w:t>
      </w:r>
      <w:r>
        <w:rPr>
          <w:rFonts w:hint="eastAsia" w:ascii="仿宋" w:hAnsi="仿宋" w:eastAsia="仿宋"/>
          <w:color w:val="000000"/>
          <w:sz w:val="32"/>
          <w:szCs w:val="32"/>
          <w:u w:val="thick"/>
        </w:rPr>
        <w:t>□</w:t>
      </w:r>
      <w:r>
        <w:rPr>
          <w:rFonts w:ascii="仿宋" w:hAnsi="仿宋" w:eastAsia="仿宋"/>
          <w:color w:val="000000"/>
          <w:sz w:val="32"/>
          <w:szCs w:val="32"/>
          <w:u w:val="thick"/>
        </w:rPr>
        <w:t xml:space="preserve"> </w:t>
      </w:r>
      <w:r>
        <w:rPr>
          <w:rFonts w:hint="eastAsia" w:ascii="仿宋" w:hAnsi="仿宋" w:eastAsia="仿宋"/>
          <w:color w:val="000000"/>
          <w:sz w:val="32"/>
          <w:szCs w:val="32"/>
          <w:u w:val="thick"/>
        </w:rPr>
        <w:t>□</w:t>
      </w:r>
      <w:r>
        <w:rPr>
          <w:rFonts w:ascii="仿宋" w:hAnsi="仿宋" w:eastAsia="仿宋"/>
          <w:color w:val="000000"/>
          <w:sz w:val="32"/>
          <w:szCs w:val="32"/>
          <w:u w:val="thick"/>
        </w:rPr>
        <w:t xml:space="preserve"> </w:t>
      </w:r>
      <w:r>
        <w:rPr>
          <w:rFonts w:hint="eastAsia" w:ascii="仿宋" w:hAnsi="仿宋" w:eastAsia="仿宋"/>
          <w:color w:val="000000"/>
          <w:sz w:val="32"/>
          <w:szCs w:val="32"/>
          <w:u w:val="thick"/>
        </w:rPr>
        <w:t>□</w:t>
      </w:r>
      <w:r>
        <w:rPr>
          <w:rFonts w:ascii="仿宋" w:hAnsi="仿宋" w:eastAsia="仿宋"/>
          <w:color w:val="000000"/>
          <w:sz w:val="32"/>
          <w:szCs w:val="32"/>
          <w:u w:val="thick"/>
        </w:rPr>
        <w:t xml:space="preserve"> </w:t>
      </w:r>
      <w:r>
        <w:rPr>
          <w:rFonts w:hint="eastAsia" w:ascii="仿宋" w:hAnsi="仿宋" w:eastAsia="仿宋"/>
          <w:color w:val="000000"/>
          <w:sz w:val="32"/>
          <w:szCs w:val="32"/>
          <w:u w:val="thick"/>
        </w:rPr>
        <w:t>□</w:t>
      </w:r>
      <w:r>
        <w:rPr>
          <w:rFonts w:ascii="仿宋" w:hAnsi="仿宋" w:eastAsia="仿宋"/>
          <w:color w:val="000000"/>
          <w:sz w:val="32"/>
          <w:szCs w:val="32"/>
          <w:u w:val="thick"/>
        </w:rPr>
        <w:t xml:space="preserve"> </w:t>
      </w:r>
      <w:r>
        <w:rPr>
          <w:rFonts w:hint="eastAsia" w:ascii="仿宋" w:hAnsi="仿宋" w:eastAsia="仿宋"/>
          <w:color w:val="000000"/>
          <w:sz w:val="32"/>
          <w:szCs w:val="32"/>
          <w:u w:val="thick"/>
        </w:rPr>
        <w:t>□</w:t>
      </w:r>
    </w:p>
    <w:p>
      <w:pPr>
        <w:widowControl/>
        <w:spacing w:line="594"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分</w:t>
      </w:r>
      <w:r>
        <w:rPr>
          <w:rFonts w:ascii="仿宋" w:hAnsi="仿宋" w:eastAsia="仿宋"/>
          <w:color w:val="000000"/>
          <w:sz w:val="32"/>
          <w:szCs w:val="32"/>
        </w:rPr>
        <w:t xml:space="preserve"> </w:t>
      </w:r>
      <w:r>
        <w:rPr>
          <w:rFonts w:hint="eastAsia" w:ascii="仿宋" w:hAnsi="仿宋" w:eastAsia="仿宋"/>
          <w:color w:val="000000"/>
          <w:sz w:val="32"/>
          <w:szCs w:val="32"/>
        </w:rPr>
        <w:t>段：</w:t>
      </w:r>
      <w:r>
        <w:rPr>
          <w:rFonts w:ascii="仿宋" w:hAnsi="仿宋" w:eastAsia="仿宋"/>
          <w:color w:val="000000"/>
          <w:sz w:val="6"/>
          <w:szCs w:val="32"/>
        </w:rPr>
        <w:t xml:space="preserve"> </w:t>
      </w:r>
      <w:r>
        <w:rPr>
          <w:rFonts w:hint="eastAsia" w:ascii="仿宋" w:hAnsi="仿宋" w:eastAsia="仿宋"/>
          <w:color w:val="000000"/>
          <w:sz w:val="32"/>
          <w:szCs w:val="32"/>
        </w:rPr>
        <w:t>第一段　</w:t>
      </w:r>
      <w:r>
        <w:rPr>
          <w:rFonts w:ascii="仿宋" w:hAnsi="仿宋" w:eastAsia="仿宋"/>
          <w:color w:val="000000"/>
          <w:sz w:val="40"/>
          <w:szCs w:val="32"/>
        </w:rPr>
        <w:t xml:space="preserve">  </w:t>
      </w:r>
      <w:r>
        <w:rPr>
          <w:rFonts w:hint="eastAsia" w:ascii="仿宋" w:hAnsi="仿宋" w:eastAsia="仿宋"/>
          <w:color w:val="000000"/>
          <w:sz w:val="32"/>
          <w:szCs w:val="32"/>
        </w:rPr>
        <w:t>第二段　</w:t>
      </w:r>
      <w:r>
        <w:rPr>
          <w:rFonts w:ascii="仿宋" w:hAnsi="仿宋" w:eastAsia="仿宋"/>
          <w:color w:val="000000"/>
          <w:sz w:val="32"/>
          <w:szCs w:val="32"/>
        </w:rPr>
        <w:t xml:space="preserve"> </w:t>
      </w:r>
      <w:r>
        <w:rPr>
          <w:rFonts w:ascii="仿宋" w:hAnsi="仿宋" w:eastAsia="仿宋"/>
          <w:color w:val="000000"/>
          <w:sz w:val="36"/>
          <w:szCs w:val="32"/>
        </w:rPr>
        <w:t xml:space="preserve">   </w:t>
      </w:r>
      <w:r>
        <w:rPr>
          <w:rFonts w:ascii="仿宋" w:hAnsi="仿宋" w:eastAsia="仿宋"/>
          <w:color w:val="000000"/>
          <w:sz w:val="32"/>
          <w:szCs w:val="32"/>
        </w:rPr>
        <w:t xml:space="preserve"> </w:t>
      </w:r>
      <w:r>
        <w:rPr>
          <w:rFonts w:hint="eastAsia" w:ascii="仿宋" w:hAnsi="仿宋" w:eastAsia="仿宋"/>
          <w:color w:val="000000"/>
          <w:sz w:val="48"/>
          <w:szCs w:val="32"/>
        </w:rPr>
        <w:t>　</w:t>
      </w:r>
      <w:r>
        <w:rPr>
          <w:rFonts w:hint="eastAsia" w:ascii="仿宋" w:hAnsi="仿宋" w:eastAsia="仿宋"/>
          <w:color w:val="000000"/>
          <w:sz w:val="32"/>
          <w:szCs w:val="32"/>
        </w:rPr>
        <w:t>第三段</w:t>
      </w:r>
    </w:p>
    <w:p>
      <w:pPr>
        <w:widowControl/>
        <w:spacing w:line="594" w:lineRule="exact"/>
        <w:ind w:firstLine="616" w:firstLineChars="200"/>
        <w:jc w:val="left"/>
        <w:rPr>
          <w:rFonts w:ascii="仿宋" w:hAnsi="仿宋" w:eastAsia="仿宋"/>
          <w:color w:val="000000"/>
          <w:spacing w:val="-6"/>
          <w:sz w:val="32"/>
          <w:szCs w:val="32"/>
        </w:rPr>
      </w:pPr>
      <w:r>
        <w:rPr>
          <w:rFonts w:hint="eastAsia" w:ascii="仿宋" w:hAnsi="仿宋" w:eastAsia="仿宋"/>
          <w:color w:val="000000"/>
          <w:spacing w:val="-6"/>
          <w:sz w:val="32"/>
          <w:szCs w:val="32"/>
        </w:rPr>
        <w:t>第一段，</w:t>
      </w:r>
      <w:r>
        <w:rPr>
          <w:rFonts w:hint="eastAsia" w:ascii="仿宋" w:hAnsi="仿宋" w:eastAsia="仿宋" w:cs="宋体"/>
          <w:color w:val="000000"/>
          <w:spacing w:val="-6"/>
          <w:sz w:val="32"/>
          <w:szCs w:val="32"/>
        </w:rPr>
        <w:t>第</w:t>
      </w:r>
      <w:r>
        <w:rPr>
          <w:rFonts w:ascii="仿宋" w:hAnsi="仿宋" w:eastAsia="仿宋"/>
          <w:color w:val="000000"/>
          <w:spacing w:val="-6"/>
          <w:sz w:val="32"/>
          <w:szCs w:val="32"/>
        </w:rPr>
        <w:t>1</w:t>
      </w:r>
      <w:r>
        <w:rPr>
          <w:rFonts w:hint="eastAsia" w:ascii="仿宋" w:hAnsi="仿宋" w:eastAsia="仿宋" w:cs="宋体"/>
          <w:color w:val="000000"/>
          <w:spacing w:val="-6"/>
          <w:sz w:val="32"/>
          <w:szCs w:val="32"/>
        </w:rPr>
        <w:t>至第</w:t>
      </w:r>
      <w:r>
        <w:rPr>
          <w:rFonts w:ascii="仿宋" w:hAnsi="仿宋" w:eastAsia="仿宋"/>
          <w:color w:val="000000"/>
          <w:spacing w:val="-6"/>
          <w:sz w:val="32"/>
          <w:szCs w:val="32"/>
        </w:rPr>
        <w:t>2</w:t>
      </w:r>
      <w:r>
        <w:rPr>
          <w:rFonts w:hint="eastAsia" w:ascii="仿宋" w:hAnsi="仿宋" w:eastAsia="仿宋" w:cs="宋体"/>
          <w:color w:val="000000"/>
          <w:spacing w:val="-6"/>
          <w:sz w:val="32"/>
          <w:szCs w:val="32"/>
        </w:rPr>
        <w:t>位为省级行政区划代码，按照《中华人民共和国行政区划代码》（</w:t>
      </w:r>
      <w:r>
        <w:rPr>
          <w:rFonts w:ascii="仿宋" w:hAnsi="仿宋" w:eastAsia="仿宋"/>
          <w:color w:val="000000"/>
          <w:spacing w:val="-6"/>
          <w:sz w:val="32"/>
          <w:szCs w:val="32"/>
        </w:rPr>
        <w:t>GB2260</w:t>
      </w:r>
      <w:r>
        <w:rPr>
          <w:rFonts w:hint="eastAsia" w:ascii="仿宋" w:hAnsi="仿宋" w:eastAsia="仿宋" w:cs="宋体"/>
          <w:color w:val="000000"/>
          <w:spacing w:val="-6"/>
          <w:sz w:val="32"/>
          <w:szCs w:val="32"/>
        </w:rPr>
        <w:t>）国家标准，陕西省代码为</w:t>
      </w:r>
      <w:r>
        <w:rPr>
          <w:rFonts w:ascii="仿宋" w:hAnsi="仿宋" w:eastAsia="仿宋"/>
          <w:color w:val="000000"/>
          <w:spacing w:val="-6"/>
          <w:sz w:val="32"/>
          <w:szCs w:val="32"/>
        </w:rPr>
        <w:t>61</w:t>
      </w:r>
      <w:r>
        <w:rPr>
          <w:rFonts w:hint="eastAsia" w:ascii="仿宋" w:hAnsi="仿宋" w:eastAsia="仿宋" w:cs="宋体"/>
          <w:color w:val="000000"/>
          <w:spacing w:val="-6"/>
          <w:sz w:val="32"/>
          <w:szCs w:val="32"/>
        </w:rPr>
        <w:t>；</w:t>
      </w:r>
    </w:p>
    <w:p>
      <w:pPr>
        <w:widowControl/>
        <w:spacing w:line="594"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第二段，</w:t>
      </w:r>
      <w:r>
        <w:rPr>
          <w:rFonts w:hint="eastAsia" w:ascii="仿宋" w:hAnsi="仿宋" w:eastAsia="仿宋" w:cs="宋体"/>
          <w:color w:val="000000"/>
          <w:sz w:val="32"/>
          <w:szCs w:val="32"/>
        </w:rPr>
        <w:t>第</w:t>
      </w:r>
      <w:r>
        <w:rPr>
          <w:rFonts w:ascii="仿宋" w:hAnsi="仿宋" w:eastAsia="仿宋"/>
          <w:color w:val="000000"/>
          <w:sz w:val="32"/>
          <w:szCs w:val="32"/>
        </w:rPr>
        <w:t>3</w:t>
      </w:r>
      <w:r>
        <w:rPr>
          <w:rFonts w:hint="eastAsia" w:ascii="仿宋" w:hAnsi="仿宋" w:eastAsia="仿宋" w:cs="宋体"/>
          <w:color w:val="000000"/>
          <w:sz w:val="32"/>
          <w:szCs w:val="32"/>
        </w:rPr>
        <w:t>至第</w:t>
      </w:r>
      <w:r>
        <w:rPr>
          <w:rFonts w:ascii="仿宋" w:hAnsi="仿宋" w:eastAsia="仿宋"/>
          <w:color w:val="000000"/>
          <w:sz w:val="32"/>
          <w:szCs w:val="32"/>
        </w:rPr>
        <w:t>6</w:t>
      </w:r>
      <w:r>
        <w:rPr>
          <w:rFonts w:hint="eastAsia" w:ascii="仿宋" w:hAnsi="仿宋" w:eastAsia="仿宋" w:cs="宋体"/>
          <w:color w:val="000000"/>
          <w:sz w:val="32"/>
          <w:szCs w:val="32"/>
        </w:rPr>
        <w:t>位为证书发放机构代码，具体代码采用全省统一规定的编码；</w:t>
      </w:r>
    </w:p>
    <w:p>
      <w:pPr>
        <w:widowControl/>
        <w:spacing w:line="594"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第三段，</w:t>
      </w:r>
      <w:r>
        <w:rPr>
          <w:rFonts w:hint="eastAsia" w:ascii="仿宋" w:hAnsi="仿宋" w:eastAsia="仿宋" w:cs="宋体"/>
          <w:color w:val="000000"/>
          <w:sz w:val="32"/>
          <w:szCs w:val="32"/>
        </w:rPr>
        <w:t>第</w:t>
      </w:r>
      <w:r>
        <w:rPr>
          <w:rFonts w:ascii="仿宋" w:hAnsi="仿宋" w:eastAsia="仿宋"/>
          <w:color w:val="000000"/>
          <w:sz w:val="32"/>
          <w:szCs w:val="32"/>
        </w:rPr>
        <w:t>7</w:t>
      </w:r>
      <w:r>
        <w:rPr>
          <w:rFonts w:hint="eastAsia" w:ascii="仿宋" w:hAnsi="仿宋" w:eastAsia="仿宋" w:cs="宋体"/>
          <w:color w:val="000000"/>
          <w:sz w:val="32"/>
          <w:szCs w:val="32"/>
        </w:rPr>
        <w:t>至第</w:t>
      </w:r>
      <w:r>
        <w:rPr>
          <w:rFonts w:ascii="仿宋" w:hAnsi="仿宋" w:eastAsia="仿宋" w:cs="宋体"/>
          <w:color w:val="000000"/>
          <w:sz w:val="32"/>
          <w:szCs w:val="32"/>
        </w:rPr>
        <w:t>12</w:t>
      </w:r>
      <w:r>
        <w:rPr>
          <w:rFonts w:hint="eastAsia" w:ascii="仿宋" w:hAnsi="仿宋" w:eastAsia="仿宋" w:cs="宋体"/>
          <w:color w:val="000000"/>
          <w:sz w:val="32"/>
          <w:szCs w:val="32"/>
        </w:rPr>
        <w:t>位为证书序号，由证书发放机构自行编码，代码范围为</w:t>
      </w:r>
      <w:r>
        <w:rPr>
          <w:rFonts w:ascii="仿宋" w:hAnsi="仿宋" w:eastAsia="仿宋"/>
          <w:color w:val="000000"/>
          <w:sz w:val="32"/>
          <w:szCs w:val="32"/>
        </w:rPr>
        <w:t>000001</w:t>
      </w:r>
      <w:r>
        <w:rPr>
          <w:rFonts w:hint="eastAsia" w:ascii="仿宋" w:hAnsi="仿宋" w:eastAsia="仿宋"/>
          <w:color w:val="000000"/>
          <w:sz w:val="32"/>
          <w:szCs w:val="32"/>
        </w:rPr>
        <w:t>～</w:t>
      </w:r>
      <w:r>
        <w:rPr>
          <w:rFonts w:ascii="仿宋" w:hAnsi="仿宋" w:eastAsia="仿宋"/>
          <w:color w:val="000000"/>
          <w:sz w:val="32"/>
          <w:szCs w:val="32"/>
        </w:rPr>
        <w:t>999999</w:t>
      </w:r>
      <w:r>
        <w:rPr>
          <w:rFonts w:hint="eastAsia" w:ascii="仿宋" w:hAnsi="仿宋" w:eastAsia="仿宋" w:cs="宋体"/>
          <w:color w:val="000000"/>
          <w:sz w:val="32"/>
          <w:szCs w:val="32"/>
        </w:rPr>
        <w:t>。</w:t>
      </w:r>
    </w:p>
    <w:p>
      <w:pPr>
        <w:spacing w:line="594" w:lineRule="exact"/>
        <w:ind w:firstLine="640" w:firstLineChars="200"/>
        <w:rPr>
          <w:rFonts w:ascii="仿宋" w:hAnsi="仿宋" w:eastAsia="仿宋"/>
          <w:color w:val="000000"/>
          <w:sz w:val="32"/>
          <w:szCs w:val="32"/>
        </w:rPr>
      </w:pPr>
    </w:p>
    <w:p>
      <w:pPr>
        <w:spacing w:before="62" w:beforeLines="20" w:line="560" w:lineRule="exact"/>
        <w:ind w:firstLine="300" w:firstLineChars="100"/>
        <w:rPr>
          <w:rFonts w:eastAsia="方正仿宋简体"/>
          <w:color w:val="000000"/>
          <w:sz w:val="30"/>
          <w:szCs w:val="30"/>
        </w:rPr>
      </w:pPr>
    </w:p>
    <w:p>
      <w:pPr>
        <w:spacing w:line="560" w:lineRule="exact"/>
        <w:ind w:firstLine="300" w:firstLineChars="100"/>
        <w:rPr>
          <w:rFonts w:eastAsia="方正仿宋简体"/>
          <w:color w:val="000000"/>
          <w:sz w:val="30"/>
          <w:szCs w:val="30"/>
        </w:rPr>
      </w:pPr>
    </w:p>
    <w:p>
      <w:pPr>
        <w:spacing w:before="62" w:beforeLines="20" w:line="560" w:lineRule="exact"/>
        <w:ind w:firstLine="300" w:firstLineChars="100"/>
        <w:rPr>
          <w:rFonts w:eastAsia="方正仿宋简体"/>
          <w:color w:val="00000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简体">
    <w:altName w:val="黑体"/>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E0"/>
    <w:rsid w:val="000014A4"/>
    <w:rsid w:val="00001D70"/>
    <w:rsid w:val="00002DA2"/>
    <w:rsid w:val="000038DA"/>
    <w:rsid w:val="00004750"/>
    <w:rsid w:val="00007E72"/>
    <w:rsid w:val="0002216D"/>
    <w:rsid w:val="00030D77"/>
    <w:rsid w:val="000363FE"/>
    <w:rsid w:val="00037AEA"/>
    <w:rsid w:val="000412BC"/>
    <w:rsid w:val="000458A2"/>
    <w:rsid w:val="000547B3"/>
    <w:rsid w:val="00057CB9"/>
    <w:rsid w:val="0006373A"/>
    <w:rsid w:val="0007096B"/>
    <w:rsid w:val="0008222B"/>
    <w:rsid w:val="00090FFA"/>
    <w:rsid w:val="00091E19"/>
    <w:rsid w:val="00096CCF"/>
    <w:rsid w:val="000A1014"/>
    <w:rsid w:val="000A3EC6"/>
    <w:rsid w:val="000A53C2"/>
    <w:rsid w:val="000B2E8B"/>
    <w:rsid w:val="000B4213"/>
    <w:rsid w:val="000C4316"/>
    <w:rsid w:val="000C4E61"/>
    <w:rsid w:val="000C73C4"/>
    <w:rsid w:val="000D3470"/>
    <w:rsid w:val="000D526C"/>
    <w:rsid w:val="000D57E7"/>
    <w:rsid w:val="000E5BA1"/>
    <w:rsid w:val="000F2EAA"/>
    <w:rsid w:val="000F2EE9"/>
    <w:rsid w:val="000F37F0"/>
    <w:rsid w:val="000F583D"/>
    <w:rsid w:val="000F699A"/>
    <w:rsid w:val="00102AE0"/>
    <w:rsid w:val="00105579"/>
    <w:rsid w:val="00121ADA"/>
    <w:rsid w:val="00123623"/>
    <w:rsid w:val="00123B29"/>
    <w:rsid w:val="001355E0"/>
    <w:rsid w:val="00136B63"/>
    <w:rsid w:val="001419A4"/>
    <w:rsid w:val="00141ACF"/>
    <w:rsid w:val="00141D52"/>
    <w:rsid w:val="001428DA"/>
    <w:rsid w:val="00143595"/>
    <w:rsid w:val="00144A27"/>
    <w:rsid w:val="001464A1"/>
    <w:rsid w:val="00165418"/>
    <w:rsid w:val="0017712B"/>
    <w:rsid w:val="001779E0"/>
    <w:rsid w:val="00183890"/>
    <w:rsid w:val="0018506B"/>
    <w:rsid w:val="00194893"/>
    <w:rsid w:val="001A1BA0"/>
    <w:rsid w:val="001A24D9"/>
    <w:rsid w:val="001A3169"/>
    <w:rsid w:val="001B2F93"/>
    <w:rsid w:val="001C22B0"/>
    <w:rsid w:val="001C39A5"/>
    <w:rsid w:val="001C741F"/>
    <w:rsid w:val="001D4D1D"/>
    <w:rsid w:val="001F0B82"/>
    <w:rsid w:val="001F1362"/>
    <w:rsid w:val="001F36E7"/>
    <w:rsid w:val="001F749D"/>
    <w:rsid w:val="002115D0"/>
    <w:rsid w:val="00221722"/>
    <w:rsid w:val="0022353C"/>
    <w:rsid w:val="00230443"/>
    <w:rsid w:val="00232F44"/>
    <w:rsid w:val="00233D3A"/>
    <w:rsid w:val="002355BC"/>
    <w:rsid w:val="002413DD"/>
    <w:rsid w:val="00242475"/>
    <w:rsid w:val="0025082C"/>
    <w:rsid w:val="00253898"/>
    <w:rsid w:val="002663B3"/>
    <w:rsid w:val="00276FD8"/>
    <w:rsid w:val="002819E3"/>
    <w:rsid w:val="002856AC"/>
    <w:rsid w:val="00285AC5"/>
    <w:rsid w:val="002870F9"/>
    <w:rsid w:val="00290FB2"/>
    <w:rsid w:val="002958AC"/>
    <w:rsid w:val="0029783A"/>
    <w:rsid w:val="002A2B86"/>
    <w:rsid w:val="002A5086"/>
    <w:rsid w:val="002B6B99"/>
    <w:rsid w:val="002E28F5"/>
    <w:rsid w:val="002E3596"/>
    <w:rsid w:val="002E70CF"/>
    <w:rsid w:val="002F5199"/>
    <w:rsid w:val="00304295"/>
    <w:rsid w:val="00307850"/>
    <w:rsid w:val="00324506"/>
    <w:rsid w:val="003327B7"/>
    <w:rsid w:val="00336A31"/>
    <w:rsid w:val="00347E9A"/>
    <w:rsid w:val="00350305"/>
    <w:rsid w:val="00362965"/>
    <w:rsid w:val="0036646C"/>
    <w:rsid w:val="00371576"/>
    <w:rsid w:val="0037507D"/>
    <w:rsid w:val="00383DF2"/>
    <w:rsid w:val="00384B58"/>
    <w:rsid w:val="003922B1"/>
    <w:rsid w:val="00397877"/>
    <w:rsid w:val="003A6DD4"/>
    <w:rsid w:val="003A7350"/>
    <w:rsid w:val="003B044A"/>
    <w:rsid w:val="003B2FB6"/>
    <w:rsid w:val="003C2988"/>
    <w:rsid w:val="003C2FC7"/>
    <w:rsid w:val="003C40EA"/>
    <w:rsid w:val="003D6184"/>
    <w:rsid w:val="003E6F95"/>
    <w:rsid w:val="003F14FC"/>
    <w:rsid w:val="003F2DB4"/>
    <w:rsid w:val="00402D7A"/>
    <w:rsid w:val="004035E6"/>
    <w:rsid w:val="0040482B"/>
    <w:rsid w:val="004075B5"/>
    <w:rsid w:val="00410024"/>
    <w:rsid w:val="00430443"/>
    <w:rsid w:val="004316C1"/>
    <w:rsid w:val="0043506B"/>
    <w:rsid w:val="004432CA"/>
    <w:rsid w:val="00445328"/>
    <w:rsid w:val="0045368C"/>
    <w:rsid w:val="0045609A"/>
    <w:rsid w:val="004604D1"/>
    <w:rsid w:val="00460766"/>
    <w:rsid w:val="00465A64"/>
    <w:rsid w:val="00476B92"/>
    <w:rsid w:val="00485C47"/>
    <w:rsid w:val="0048707B"/>
    <w:rsid w:val="0049220A"/>
    <w:rsid w:val="004923F6"/>
    <w:rsid w:val="00497718"/>
    <w:rsid w:val="004B735C"/>
    <w:rsid w:val="004C1D18"/>
    <w:rsid w:val="004C4CD1"/>
    <w:rsid w:val="004C5FE8"/>
    <w:rsid w:val="004D6542"/>
    <w:rsid w:val="004D6C94"/>
    <w:rsid w:val="004E0652"/>
    <w:rsid w:val="00504921"/>
    <w:rsid w:val="00506927"/>
    <w:rsid w:val="00506EB3"/>
    <w:rsid w:val="0050798D"/>
    <w:rsid w:val="0051200C"/>
    <w:rsid w:val="00514FBB"/>
    <w:rsid w:val="00521152"/>
    <w:rsid w:val="00524A67"/>
    <w:rsid w:val="00542D41"/>
    <w:rsid w:val="00550E9B"/>
    <w:rsid w:val="00552AEB"/>
    <w:rsid w:val="00560FFA"/>
    <w:rsid w:val="00563DCF"/>
    <w:rsid w:val="0057309A"/>
    <w:rsid w:val="005756A3"/>
    <w:rsid w:val="0057714C"/>
    <w:rsid w:val="0058580E"/>
    <w:rsid w:val="0058779C"/>
    <w:rsid w:val="00587966"/>
    <w:rsid w:val="00590932"/>
    <w:rsid w:val="00595DDB"/>
    <w:rsid w:val="005A2014"/>
    <w:rsid w:val="005A283C"/>
    <w:rsid w:val="005A2E0A"/>
    <w:rsid w:val="005A400F"/>
    <w:rsid w:val="005B37F2"/>
    <w:rsid w:val="005B4ED1"/>
    <w:rsid w:val="005B6528"/>
    <w:rsid w:val="005D0EC8"/>
    <w:rsid w:val="005D1813"/>
    <w:rsid w:val="005D3769"/>
    <w:rsid w:val="005E0A53"/>
    <w:rsid w:val="005E3788"/>
    <w:rsid w:val="005E58B2"/>
    <w:rsid w:val="005F7873"/>
    <w:rsid w:val="00600097"/>
    <w:rsid w:val="006038F5"/>
    <w:rsid w:val="00605833"/>
    <w:rsid w:val="00612FC5"/>
    <w:rsid w:val="006176C4"/>
    <w:rsid w:val="00624826"/>
    <w:rsid w:val="00635D81"/>
    <w:rsid w:val="00644667"/>
    <w:rsid w:val="00646C0A"/>
    <w:rsid w:val="006505C6"/>
    <w:rsid w:val="00651FC1"/>
    <w:rsid w:val="00663258"/>
    <w:rsid w:val="00673316"/>
    <w:rsid w:val="00681F2A"/>
    <w:rsid w:val="00683DD4"/>
    <w:rsid w:val="006910C5"/>
    <w:rsid w:val="00694CF7"/>
    <w:rsid w:val="00694DAC"/>
    <w:rsid w:val="00697505"/>
    <w:rsid w:val="006A05C8"/>
    <w:rsid w:val="006A5239"/>
    <w:rsid w:val="006A5307"/>
    <w:rsid w:val="006A6B34"/>
    <w:rsid w:val="006B7817"/>
    <w:rsid w:val="006C1E5D"/>
    <w:rsid w:val="006C28D1"/>
    <w:rsid w:val="006C3ACF"/>
    <w:rsid w:val="006C3C48"/>
    <w:rsid w:val="006C4FEA"/>
    <w:rsid w:val="006E6F27"/>
    <w:rsid w:val="006F02C0"/>
    <w:rsid w:val="007078D1"/>
    <w:rsid w:val="00710148"/>
    <w:rsid w:val="00713715"/>
    <w:rsid w:val="00717B09"/>
    <w:rsid w:val="007223DA"/>
    <w:rsid w:val="00726C07"/>
    <w:rsid w:val="007274CE"/>
    <w:rsid w:val="00741CA5"/>
    <w:rsid w:val="007430BD"/>
    <w:rsid w:val="00744AFD"/>
    <w:rsid w:val="00766DC0"/>
    <w:rsid w:val="00767B38"/>
    <w:rsid w:val="007718BF"/>
    <w:rsid w:val="00772EF9"/>
    <w:rsid w:val="007750D5"/>
    <w:rsid w:val="00776CF6"/>
    <w:rsid w:val="00793921"/>
    <w:rsid w:val="0079672F"/>
    <w:rsid w:val="007A132D"/>
    <w:rsid w:val="007B257D"/>
    <w:rsid w:val="007B5416"/>
    <w:rsid w:val="007B5DAC"/>
    <w:rsid w:val="007C1E28"/>
    <w:rsid w:val="007D5E51"/>
    <w:rsid w:val="007E18CB"/>
    <w:rsid w:val="007E21D2"/>
    <w:rsid w:val="007E3117"/>
    <w:rsid w:val="007E31AF"/>
    <w:rsid w:val="007F1A14"/>
    <w:rsid w:val="007F452A"/>
    <w:rsid w:val="007F6F4C"/>
    <w:rsid w:val="008153E9"/>
    <w:rsid w:val="00823023"/>
    <w:rsid w:val="00825FDD"/>
    <w:rsid w:val="008277FE"/>
    <w:rsid w:val="00832F7B"/>
    <w:rsid w:val="00836ED1"/>
    <w:rsid w:val="00841B69"/>
    <w:rsid w:val="00846219"/>
    <w:rsid w:val="0085408D"/>
    <w:rsid w:val="00863893"/>
    <w:rsid w:val="00864340"/>
    <w:rsid w:val="00865DC0"/>
    <w:rsid w:val="0087017F"/>
    <w:rsid w:val="00873D91"/>
    <w:rsid w:val="0087687C"/>
    <w:rsid w:val="00885F99"/>
    <w:rsid w:val="00887876"/>
    <w:rsid w:val="008906B8"/>
    <w:rsid w:val="00892139"/>
    <w:rsid w:val="008A4590"/>
    <w:rsid w:val="008B0BE5"/>
    <w:rsid w:val="008B141B"/>
    <w:rsid w:val="008B42DD"/>
    <w:rsid w:val="008C507D"/>
    <w:rsid w:val="008C6EAA"/>
    <w:rsid w:val="008D256E"/>
    <w:rsid w:val="008E06F9"/>
    <w:rsid w:val="008E0CC1"/>
    <w:rsid w:val="0090322B"/>
    <w:rsid w:val="00903277"/>
    <w:rsid w:val="009076BE"/>
    <w:rsid w:val="00914172"/>
    <w:rsid w:val="00932859"/>
    <w:rsid w:val="00941716"/>
    <w:rsid w:val="00945F6A"/>
    <w:rsid w:val="0094750D"/>
    <w:rsid w:val="009478AB"/>
    <w:rsid w:val="009533F7"/>
    <w:rsid w:val="009601D1"/>
    <w:rsid w:val="00970DA7"/>
    <w:rsid w:val="009719A3"/>
    <w:rsid w:val="00976DF0"/>
    <w:rsid w:val="00981372"/>
    <w:rsid w:val="009954FB"/>
    <w:rsid w:val="00995958"/>
    <w:rsid w:val="009961D9"/>
    <w:rsid w:val="009972BD"/>
    <w:rsid w:val="009A335E"/>
    <w:rsid w:val="009B191A"/>
    <w:rsid w:val="009C58CB"/>
    <w:rsid w:val="009D0C75"/>
    <w:rsid w:val="009E4F1F"/>
    <w:rsid w:val="009F5B2E"/>
    <w:rsid w:val="009F74C3"/>
    <w:rsid w:val="009F7E3A"/>
    <w:rsid w:val="00A13208"/>
    <w:rsid w:val="00A22504"/>
    <w:rsid w:val="00A22F61"/>
    <w:rsid w:val="00A2483A"/>
    <w:rsid w:val="00A274C7"/>
    <w:rsid w:val="00A27FDF"/>
    <w:rsid w:val="00A303BE"/>
    <w:rsid w:val="00A31A1B"/>
    <w:rsid w:val="00A35E91"/>
    <w:rsid w:val="00A41674"/>
    <w:rsid w:val="00A4554D"/>
    <w:rsid w:val="00A45713"/>
    <w:rsid w:val="00A45D3C"/>
    <w:rsid w:val="00A521F5"/>
    <w:rsid w:val="00A57871"/>
    <w:rsid w:val="00A632BA"/>
    <w:rsid w:val="00A65C3D"/>
    <w:rsid w:val="00A71AE5"/>
    <w:rsid w:val="00A75CF0"/>
    <w:rsid w:val="00A81A7B"/>
    <w:rsid w:val="00A826AB"/>
    <w:rsid w:val="00A838DC"/>
    <w:rsid w:val="00A95749"/>
    <w:rsid w:val="00A968A3"/>
    <w:rsid w:val="00A96928"/>
    <w:rsid w:val="00AA3893"/>
    <w:rsid w:val="00AA3FFB"/>
    <w:rsid w:val="00AA66A5"/>
    <w:rsid w:val="00AB4050"/>
    <w:rsid w:val="00AB4BF6"/>
    <w:rsid w:val="00AB7859"/>
    <w:rsid w:val="00AC0145"/>
    <w:rsid w:val="00AC051D"/>
    <w:rsid w:val="00AC76F1"/>
    <w:rsid w:val="00AD37A7"/>
    <w:rsid w:val="00AD45A4"/>
    <w:rsid w:val="00AE1098"/>
    <w:rsid w:val="00AE1D77"/>
    <w:rsid w:val="00AE78BA"/>
    <w:rsid w:val="00AF0E52"/>
    <w:rsid w:val="00AF2E5B"/>
    <w:rsid w:val="00B136B8"/>
    <w:rsid w:val="00B23D54"/>
    <w:rsid w:val="00B34DCB"/>
    <w:rsid w:val="00B35EE2"/>
    <w:rsid w:val="00B37833"/>
    <w:rsid w:val="00B42009"/>
    <w:rsid w:val="00B563CB"/>
    <w:rsid w:val="00B71392"/>
    <w:rsid w:val="00B7524B"/>
    <w:rsid w:val="00B813D6"/>
    <w:rsid w:val="00B82F37"/>
    <w:rsid w:val="00B834C3"/>
    <w:rsid w:val="00B84910"/>
    <w:rsid w:val="00B90029"/>
    <w:rsid w:val="00B93869"/>
    <w:rsid w:val="00B95AAC"/>
    <w:rsid w:val="00BA12E7"/>
    <w:rsid w:val="00BB17B6"/>
    <w:rsid w:val="00BB3FEC"/>
    <w:rsid w:val="00BB60D7"/>
    <w:rsid w:val="00BB6A3C"/>
    <w:rsid w:val="00BC2E7D"/>
    <w:rsid w:val="00BD0917"/>
    <w:rsid w:val="00BD20B6"/>
    <w:rsid w:val="00BD63BB"/>
    <w:rsid w:val="00BD69B9"/>
    <w:rsid w:val="00BF03E0"/>
    <w:rsid w:val="00BF5D0E"/>
    <w:rsid w:val="00C01E3D"/>
    <w:rsid w:val="00C025FA"/>
    <w:rsid w:val="00C04A89"/>
    <w:rsid w:val="00C148EF"/>
    <w:rsid w:val="00C151B4"/>
    <w:rsid w:val="00C15322"/>
    <w:rsid w:val="00C2041E"/>
    <w:rsid w:val="00C25948"/>
    <w:rsid w:val="00C25A41"/>
    <w:rsid w:val="00C26B6B"/>
    <w:rsid w:val="00C34F8C"/>
    <w:rsid w:val="00C4364B"/>
    <w:rsid w:val="00C45873"/>
    <w:rsid w:val="00C472ED"/>
    <w:rsid w:val="00C51BD1"/>
    <w:rsid w:val="00C52AF4"/>
    <w:rsid w:val="00C60963"/>
    <w:rsid w:val="00C617D3"/>
    <w:rsid w:val="00C96D1A"/>
    <w:rsid w:val="00CA40A2"/>
    <w:rsid w:val="00CB4C20"/>
    <w:rsid w:val="00CB644C"/>
    <w:rsid w:val="00CC00EE"/>
    <w:rsid w:val="00CD29A0"/>
    <w:rsid w:val="00CE01EB"/>
    <w:rsid w:val="00CE5726"/>
    <w:rsid w:val="00CF5793"/>
    <w:rsid w:val="00CF7E83"/>
    <w:rsid w:val="00D014C1"/>
    <w:rsid w:val="00D017B0"/>
    <w:rsid w:val="00D03E5B"/>
    <w:rsid w:val="00D04D0C"/>
    <w:rsid w:val="00D07D26"/>
    <w:rsid w:val="00D159AB"/>
    <w:rsid w:val="00D163C4"/>
    <w:rsid w:val="00D167A7"/>
    <w:rsid w:val="00D17F74"/>
    <w:rsid w:val="00D21723"/>
    <w:rsid w:val="00D22C43"/>
    <w:rsid w:val="00D23C99"/>
    <w:rsid w:val="00D318D5"/>
    <w:rsid w:val="00D40847"/>
    <w:rsid w:val="00D4524F"/>
    <w:rsid w:val="00D534EB"/>
    <w:rsid w:val="00D56FC9"/>
    <w:rsid w:val="00D57BA0"/>
    <w:rsid w:val="00D6135E"/>
    <w:rsid w:val="00D64D65"/>
    <w:rsid w:val="00D73334"/>
    <w:rsid w:val="00D80B19"/>
    <w:rsid w:val="00D81FFE"/>
    <w:rsid w:val="00D854A7"/>
    <w:rsid w:val="00D855DC"/>
    <w:rsid w:val="00D8614D"/>
    <w:rsid w:val="00D90390"/>
    <w:rsid w:val="00D9058C"/>
    <w:rsid w:val="00D932FC"/>
    <w:rsid w:val="00D94314"/>
    <w:rsid w:val="00DA0377"/>
    <w:rsid w:val="00DA73BC"/>
    <w:rsid w:val="00DA7D6D"/>
    <w:rsid w:val="00DB4175"/>
    <w:rsid w:val="00DB76A3"/>
    <w:rsid w:val="00DC36E2"/>
    <w:rsid w:val="00DE5163"/>
    <w:rsid w:val="00DF1EF0"/>
    <w:rsid w:val="00DF2887"/>
    <w:rsid w:val="00E0149B"/>
    <w:rsid w:val="00E02426"/>
    <w:rsid w:val="00E04F88"/>
    <w:rsid w:val="00E22F3C"/>
    <w:rsid w:val="00E35F1B"/>
    <w:rsid w:val="00E40C24"/>
    <w:rsid w:val="00E4257F"/>
    <w:rsid w:val="00E47F04"/>
    <w:rsid w:val="00E5012C"/>
    <w:rsid w:val="00E53BD6"/>
    <w:rsid w:val="00E57683"/>
    <w:rsid w:val="00E60565"/>
    <w:rsid w:val="00E62A2A"/>
    <w:rsid w:val="00E651AF"/>
    <w:rsid w:val="00E72B4B"/>
    <w:rsid w:val="00E751F2"/>
    <w:rsid w:val="00E8377A"/>
    <w:rsid w:val="00E84731"/>
    <w:rsid w:val="00E9604E"/>
    <w:rsid w:val="00E97BB9"/>
    <w:rsid w:val="00EA4BEF"/>
    <w:rsid w:val="00EA5CD8"/>
    <w:rsid w:val="00EA6D24"/>
    <w:rsid w:val="00EB36EB"/>
    <w:rsid w:val="00EB7476"/>
    <w:rsid w:val="00EB7CC8"/>
    <w:rsid w:val="00EC796E"/>
    <w:rsid w:val="00ED6C74"/>
    <w:rsid w:val="00ED7F71"/>
    <w:rsid w:val="00EE13D8"/>
    <w:rsid w:val="00EE2B86"/>
    <w:rsid w:val="00EE4480"/>
    <w:rsid w:val="00EE75F5"/>
    <w:rsid w:val="00EF3591"/>
    <w:rsid w:val="00EF5A0D"/>
    <w:rsid w:val="00EF696A"/>
    <w:rsid w:val="00F116E3"/>
    <w:rsid w:val="00F11C40"/>
    <w:rsid w:val="00F14C6E"/>
    <w:rsid w:val="00F16ECF"/>
    <w:rsid w:val="00F21C52"/>
    <w:rsid w:val="00F276EB"/>
    <w:rsid w:val="00F441BD"/>
    <w:rsid w:val="00F60F20"/>
    <w:rsid w:val="00F61FA8"/>
    <w:rsid w:val="00F64480"/>
    <w:rsid w:val="00F65352"/>
    <w:rsid w:val="00F65365"/>
    <w:rsid w:val="00F876CA"/>
    <w:rsid w:val="00F9397F"/>
    <w:rsid w:val="00F95A09"/>
    <w:rsid w:val="00F971FE"/>
    <w:rsid w:val="00FA34B9"/>
    <w:rsid w:val="00FA3D32"/>
    <w:rsid w:val="00FA6695"/>
    <w:rsid w:val="00FB380F"/>
    <w:rsid w:val="00FC5596"/>
    <w:rsid w:val="00FD540B"/>
    <w:rsid w:val="00FE1EE4"/>
    <w:rsid w:val="00FF4FEC"/>
    <w:rsid w:val="00FF57CA"/>
    <w:rsid w:val="064C35A7"/>
    <w:rsid w:val="37180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00"/>
      <w:u w:val="none"/>
    </w:rPr>
  </w:style>
  <w:style w:type="character" w:customStyle="1" w:styleId="7">
    <w:name w:val="f14b"/>
    <w:basedOn w:val="4"/>
    <w:qFormat/>
    <w:uiPriority w:val="0"/>
  </w:style>
  <w:style w:type="character" w:customStyle="1" w:styleId="8">
    <w:name w:val="linknamespan"/>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780</Words>
  <Characters>4452</Characters>
  <Lines>37</Lines>
  <Paragraphs>10</Paragraphs>
  <TotalTime>0</TotalTime>
  <ScaleCrop>false</ScaleCrop>
  <LinksUpToDate>false</LinksUpToDate>
  <CharactersWithSpaces>5222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2016-11-22T00:23:00Z</dcterms:created>
  <dc:creator>魏强</dc:creator>
  <cp:lastModifiedBy>乔汉</cp:lastModifiedBy>
  <dcterms:modified xsi:type="dcterms:W3CDTF">2020-03-24T15:55:03Z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